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outlineLvl w:val="0"/>
        <w:rPr>
          <w:rFonts w:ascii="黑体" w:hAnsi="黑体" w:eastAsia="黑体" w:cs="黑体"/>
          <w:color w:val="000000"/>
          <w:kern w:val="0"/>
          <w:sz w:val="32"/>
          <w:szCs w:val="32"/>
        </w:rPr>
      </w:pPr>
      <w:bookmarkStart w:id="0" w:name="_Toc515598807"/>
      <w:bookmarkStart w:id="1" w:name="_Toc515598850"/>
      <w:r>
        <w:rPr>
          <w:rFonts w:hint="eastAsia" w:ascii="黑体" w:hAnsi="黑体" w:eastAsia="黑体" w:cs="黑体"/>
          <w:color w:val="000000"/>
          <w:kern w:val="0"/>
          <w:sz w:val="32"/>
          <w:szCs w:val="32"/>
        </w:rPr>
        <w:t>附件3</w:t>
      </w:r>
    </w:p>
    <w:p>
      <w:pPr>
        <w:adjustRightInd w:val="0"/>
        <w:snapToGrid w:val="0"/>
        <w:spacing w:line="360" w:lineRule="auto"/>
        <w:jc w:val="center"/>
        <w:outlineLvl w:val="0"/>
        <w:rPr>
          <w:rFonts w:ascii="方正小标宋简体" w:hAnsi="方正小标宋简体" w:eastAsia="方正小标宋简体" w:cs="Times New Roman"/>
          <w:color w:val="000000"/>
          <w:sz w:val="36"/>
          <w:szCs w:val="36"/>
        </w:rPr>
      </w:pPr>
      <w:r>
        <w:rPr>
          <w:rFonts w:hint="eastAsia" w:ascii="方正小标宋简体" w:hAnsi="方正小标宋简体" w:eastAsia="方正小标宋简体" w:cs="方正小标宋简体"/>
          <w:color w:val="000000"/>
          <w:kern w:val="0"/>
          <w:sz w:val="36"/>
          <w:szCs w:val="36"/>
        </w:rPr>
        <w:t>绿色园区创建和评价要求</w:t>
      </w:r>
      <w:bookmarkEnd w:id="0"/>
      <w:bookmarkEnd w:id="1"/>
    </w:p>
    <w:p>
      <w:pPr>
        <w:autoSpaceDE w:val="0"/>
        <w:autoSpaceDN w:val="0"/>
        <w:adjustRightInd w:val="0"/>
        <w:snapToGrid w:val="0"/>
        <w:spacing w:line="360" w:lineRule="auto"/>
        <w:ind w:firstLine="640" w:firstLineChars="200"/>
        <w:outlineLvl w:val="0"/>
        <w:rPr>
          <w:rFonts w:ascii="黑体" w:eastAsia="黑体" w:cs="Times New Roman"/>
          <w:color w:val="000000"/>
          <w:kern w:val="0"/>
          <w:sz w:val="32"/>
          <w:szCs w:val="32"/>
        </w:rPr>
      </w:pPr>
      <w:r>
        <w:rPr>
          <w:rFonts w:hint="eastAsia" w:ascii="黑体" w:eastAsia="黑体" w:cs="黑体"/>
          <w:color w:val="000000"/>
          <w:kern w:val="0"/>
          <w:sz w:val="32"/>
          <w:szCs w:val="32"/>
        </w:rPr>
        <w:t>一、总则</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（一）适用范围</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适用于福建省工业园区创建绿色园区试点示范单位和开展自评；也适用于第三方机构开展绿色园区评价。</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（二）依据标准</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《绿色园区评价要求》（工信部，</w:t>
      </w:r>
      <w:r>
        <w:rPr>
          <w:rFonts w:ascii="仿宋_GB2312" w:eastAsia="仿宋_GB2312" w:cs="仿宋_GB2312"/>
          <w:color w:val="000000"/>
          <w:kern w:val="0"/>
          <w:sz w:val="32"/>
          <w:szCs w:val="32"/>
        </w:rPr>
        <w:t>2016</w:t>
      </w:r>
      <w:r>
        <w:rPr>
          <w:rFonts w:hint="eastAsia" w:ascii="仿宋_GB2312" w:eastAsia="仿宋_GB2312" w:cs="仿宋_GB2312"/>
          <w:color w:val="000000"/>
          <w:kern w:val="0"/>
          <w:sz w:val="32"/>
          <w:szCs w:val="32"/>
        </w:rPr>
        <w:t>年）；</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《绿色工厂评价要求》（工信部，</w:t>
      </w:r>
      <w:r>
        <w:rPr>
          <w:rFonts w:ascii="仿宋_GB2312" w:eastAsia="仿宋_GB2312" w:cs="仿宋_GB2312"/>
          <w:color w:val="000000"/>
          <w:kern w:val="0"/>
          <w:sz w:val="32"/>
          <w:szCs w:val="32"/>
        </w:rPr>
        <w:t>2016</w:t>
      </w:r>
      <w:r>
        <w:rPr>
          <w:rFonts w:hint="eastAsia" w:ascii="仿宋_GB2312" w:eastAsia="仿宋_GB2312" w:cs="仿宋_GB2312"/>
          <w:color w:val="000000"/>
          <w:kern w:val="0"/>
          <w:sz w:val="32"/>
          <w:szCs w:val="32"/>
        </w:rPr>
        <w:t>年）；</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《循环经济发展评价指标体系》（</w:t>
      </w:r>
      <w:r>
        <w:rPr>
          <w:rFonts w:ascii="仿宋_GB2312" w:eastAsia="仿宋_GB2312" w:cs="仿宋_GB2312"/>
          <w:color w:val="000000"/>
          <w:kern w:val="0"/>
          <w:sz w:val="32"/>
          <w:szCs w:val="32"/>
        </w:rPr>
        <w:t>2017</w:t>
      </w:r>
      <w:r>
        <w:rPr>
          <w:rFonts w:hint="eastAsia" w:ascii="仿宋_GB2312" w:eastAsia="仿宋_GB2312" w:cs="仿宋_GB2312"/>
          <w:color w:val="000000"/>
          <w:kern w:val="0"/>
          <w:sz w:val="32"/>
          <w:szCs w:val="32"/>
        </w:rPr>
        <w:t>年版）。</w:t>
      </w:r>
    </w:p>
    <w:p>
      <w:pPr>
        <w:autoSpaceDE w:val="0"/>
        <w:autoSpaceDN w:val="0"/>
        <w:adjustRightInd w:val="0"/>
        <w:snapToGrid w:val="0"/>
        <w:spacing w:line="360" w:lineRule="auto"/>
        <w:ind w:firstLine="640" w:firstLineChars="200"/>
        <w:outlineLvl w:val="0"/>
        <w:rPr>
          <w:rFonts w:ascii="黑体" w:eastAsia="黑体" w:cs="Times New Roman"/>
          <w:color w:val="000000"/>
          <w:kern w:val="0"/>
          <w:sz w:val="32"/>
          <w:szCs w:val="32"/>
        </w:rPr>
      </w:pPr>
      <w:r>
        <w:rPr>
          <w:rFonts w:hint="eastAsia" w:ascii="黑体" w:eastAsia="黑体" w:cs="黑体"/>
          <w:color w:val="000000"/>
          <w:kern w:val="0"/>
          <w:sz w:val="32"/>
          <w:szCs w:val="32"/>
        </w:rPr>
        <w:t>二、基本条件</w:t>
      </w:r>
    </w:p>
    <w:p>
      <w:pPr>
        <w:pStyle w:val="22"/>
        <w:widowControl w:val="0"/>
        <w:tabs>
          <w:tab w:val="left" w:pos="851"/>
          <w:tab w:val="left" w:pos="1134"/>
          <w:tab w:val="left" w:pos="1418"/>
          <w:tab w:val="left" w:pos="1560"/>
        </w:tabs>
        <w:autoSpaceDE w:val="0"/>
        <w:autoSpaceDN w:val="0"/>
        <w:adjustRightInd w:val="0"/>
        <w:snapToGrid w:val="0"/>
        <w:spacing w:line="360" w:lineRule="auto"/>
        <w:ind w:firstLine="64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申请创建绿色园区示范单位的工业园区，必须满足如下基本条件：</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．园区有效地贯彻执行国家和地方绿色、循环和低碳相关法律法规、政策和标准。</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．近三年，园区内未发生较大质量、安全、环境事故或较大生态破坏事件。</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．园区内企业完成了国家或地方政府下达的节能减排指标，碳排放强度持续下降。</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环境质量达到国家或地方规定的环境功能区环境质量标准，园区内企业污染物达标排放，各类重点污染物排放总量均不超过国家或地方的总量控制要求。</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园区重点企业</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实施清洁生产审核</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非重点企业</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实施清洁生产改造。</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注：重点企业是指《清洁生产促进法》中规定的应当实施强制性清洁生产审核的企业（评审期当年及之前公布的重点企业清洁生产审核名单中的企业）。</w:t>
      </w: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园区企业不应使用国家列入淘汰目录的落后生产技术、工艺和设备，不应生产国家列入淘汰目录的产品。</w:t>
      </w:r>
    </w:p>
    <w:p>
      <w:pPr>
        <w:autoSpaceDE w:val="0"/>
        <w:autoSpaceDN w:val="0"/>
        <w:adjustRightInd w:val="0"/>
        <w:snapToGrid w:val="0"/>
        <w:spacing w:line="360" w:lineRule="auto"/>
        <w:ind w:firstLine="640" w:firstLineChars="200"/>
        <w:rPr>
          <w:rFonts w:hint="eastAsia" w:ascii="仿宋_GB2312" w:eastAsia="仿宋_GB2312" w:cs="Times New Roman"/>
          <w:color w:val="000000"/>
          <w:kern w:val="0"/>
          <w:sz w:val="32"/>
          <w:szCs w:val="32"/>
        </w:rPr>
      </w:pPr>
      <w:r>
        <w:rPr>
          <w:rFonts w:hint="eastAsia" w:ascii="仿宋_GB2312" w:eastAsia="仿宋_GB2312" w:cs="Times New Roman"/>
          <w:color w:val="000000"/>
          <w:kern w:val="0"/>
          <w:sz w:val="32"/>
          <w:szCs w:val="32"/>
        </w:rPr>
        <w:t>7.园区应建立履行绿色发展工作职责的专门机构，配备2名以上专职工作人员。</w:t>
      </w:r>
    </w:p>
    <w:p>
      <w:pPr>
        <w:autoSpaceDE w:val="0"/>
        <w:autoSpaceDN w:val="0"/>
        <w:adjustRightInd w:val="0"/>
        <w:snapToGrid w:val="0"/>
        <w:spacing w:line="360" w:lineRule="auto"/>
        <w:ind w:firstLine="640" w:firstLineChars="200"/>
        <w:rPr>
          <w:rFonts w:hint="eastAsia" w:ascii="仿宋_GB2312" w:eastAsia="仿宋_GB2312" w:cs="Times New Roman"/>
          <w:color w:val="000000"/>
          <w:kern w:val="0"/>
          <w:sz w:val="32"/>
          <w:szCs w:val="32"/>
        </w:rPr>
      </w:pPr>
      <w:r>
        <w:rPr>
          <w:rFonts w:ascii="仿宋_GB2312" w:eastAsia="仿宋_GB2312" w:cs="Times New Roman"/>
          <w:color w:val="000000"/>
          <w:kern w:val="0"/>
          <w:sz w:val="32"/>
          <w:szCs w:val="32"/>
        </w:rPr>
        <w:t>8.</w:t>
      </w:r>
      <w:r>
        <w:rPr>
          <w:rFonts w:hint="eastAsia" w:ascii="仿宋_GB2312" w:eastAsia="仿宋_GB2312" w:cs="Times New Roman"/>
          <w:color w:val="000000"/>
          <w:kern w:val="0"/>
          <w:sz w:val="32"/>
          <w:szCs w:val="32"/>
        </w:rPr>
        <w:t>园区应建立并运行环境管理体系和能源管理体系，建立园区能耗在线监测管理平台。</w:t>
      </w:r>
    </w:p>
    <w:p>
      <w:pPr>
        <w:autoSpaceDE w:val="0"/>
        <w:autoSpaceDN w:val="0"/>
        <w:adjustRightInd w:val="0"/>
        <w:snapToGrid w:val="0"/>
        <w:spacing w:line="360" w:lineRule="auto"/>
        <w:ind w:firstLine="640" w:firstLineChars="200"/>
        <w:rPr>
          <w:rFonts w:hint="eastAsia" w:ascii="仿宋_GB2312" w:eastAsia="仿宋_GB2312" w:cs="Times New Roman"/>
          <w:color w:val="000000"/>
          <w:kern w:val="0"/>
          <w:sz w:val="32"/>
          <w:szCs w:val="32"/>
        </w:rPr>
      </w:pPr>
      <w:r>
        <w:rPr>
          <w:rFonts w:ascii="仿宋_GB2312" w:eastAsia="仿宋_GB2312" w:cs="Times New Roman"/>
          <w:color w:val="000000"/>
          <w:kern w:val="0"/>
          <w:sz w:val="32"/>
          <w:szCs w:val="32"/>
        </w:rPr>
        <w:t>9.</w:t>
      </w:r>
      <w:r>
        <w:rPr>
          <w:rFonts w:hint="eastAsia" w:ascii="仿宋_GB2312" w:eastAsia="仿宋_GB2312" w:cs="Times New Roman"/>
          <w:color w:val="000000"/>
          <w:kern w:val="0"/>
          <w:sz w:val="32"/>
          <w:szCs w:val="32"/>
        </w:rPr>
        <w:t>园区应建设并运行风能或太阳能等可再生能源利用设施。</w:t>
      </w:r>
    </w:p>
    <w:p>
      <w:pPr>
        <w:autoSpaceDE w:val="0"/>
        <w:autoSpaceDN w:val="0"/>
        <w:adjustRightInd w:val="0"/>
        <w:snapToGrid w:val="0"/>
        <w:spacing w:line="360" w:lineRule="auto"/>
        <w:ind w:firstLine="640" w:firstLineChars="200"/>
        <w:outlineLvl w:val="0"/>
        <w:rPr>
          <w:rFonts w:ascii="黑体" w:eastAsia="黑体" w:cs="Times New Roman"/>
          <w:color w:val="000000"/>
          <w:kern w:val="0"/>
          <w:sz w:val="32"/>
          <w:szCs w:val="32"/>
        </w:rPr>
      </w:pPr>
      <w:r>
        <w:rPr>
          <w:rFonts w:hint="eastAsia" w:ascii="黑体" w:eastAsia="黑体" w:cs="黑体"/>
          <w:color w:val="000000"/>
          <w:kern w:val="0"/>
          <w:sz w:val="32"/>
          <w:szCs w:val="32"/>
        </w:rPr>
        <w:t>三、主要创建内容</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绿色园区的主要创建内容包括能源利用、资源利用、基础设施、产业、生态环境和运行管理共</w:t>
      </w: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个方面。</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（一）能源利用</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园区应优化能源利用结构，不断提高能源产出率和清洁能源使用比例，使用可再生能源替代不可再生能源等。园区应开展节能减排项目，推进能源高效利用。</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园区可根据情况建设光伏、光热、地源热泵和智能微电网，适用时可采用风能、生物质能等，提高生产过程中可再生能源使用比例。</w:t>
      </w: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园区能源产出率力争达到</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吨标准煤；可再生能源使用比例占总能源的比重力争达到</w:t>
      </w:r>
      <w:r>
        <w:rPr>
          <w:rFonts w:ascii="仿宋_GB2312" w:eastAsia="仿宋_GB2312" w:cs="仿宋_GB2312"/>
          <w:color w:val="000000"/>
          <w:kern w:val="0"/>
          <w:sz w:val="32"/>
          <w:szCs w:val="32"/>
        </w:rPr>
        <w:t>15%</w:t>
      </w:r>
      <w:r>
        <w:rPr>
          <w:rFonts w:hint="eastAsia" w:ascii="仿宋_GB2312" w:eastAsia="仿宋_GB2312" w:cs="仿宋_GB2312"/>
          <w:color w:val="000000"/>
          <w:kern w:val="0"/>
          <w:sz w:val="32"/>
          <w:szCs w:val="32"/>
        </w:rPr>
        <w:t>；清洁能源使用比重力争达到</w:t>
      </w:r>
      <w:r>
        <w:rPr>
          <w:rFonts w:ascii="仿宋_GB2312" w:eastAsia="仿宋_GB2312" w:cs="仿宋_GB2312"/>
          <w:color w:val="000000"/>
          <w:kern w:val="0"/>
          <w:sz w:val="32"/>
          <w:szCs w:val="32"/>
        </w:rPr>
        <w:t>60%</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（二）资源利用</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园区可按照</w:t>
      </w:r>
      <w:r>
        <w:rPr>
          <w:rFonts w:ascii="仿宋_GB2312" w:eastAsia="仿宋_GB2312" w:cs="仿宋_GB2312"/>
          <w:color w:val="000000"/>
          <w:kern w:val="0"/>
          <w:sz w:val="32"/>
          <w:szCs w:val="32"/>
        </w:rPr>
        <w:t>GB/T 7119</w:t>
      </w:r>
      <w:r>
        <w:rPr>
          <w:rFonts w:hint="eastAsia" w:ascii="仿宋_GB2312" w:eastAsia="仿宋_GB2312" w:cs="仿宋_GB2312"/>
          <w:color w:val="000000"/>
          <w:kern w:val="0"/>
          <w:sz w:val="32"/>
          <w:szCs w:val="32"/>
        </w:rPr>
        <w:t>的要求对园区内企业开展节水评价工作，推进水资源循环利用项目，提高水资源产出率。</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园区可按照《福建省工业项目建设用地控制指标（</w:t>
      </w:r>
      <w:r>
        <w:rPr>
          <w:rFonts w:ascii="仿宋_GB2312" w:eastAsia="仿宋_GB2312" w:cs="仿宋_GB2312"/>
          <w:color w:val="000000"/>
          <w:kern w:val="0"/>
          <w:sz w:val="32"/>
          <w:szCs w:val="32"/>
        </w:rPr>
        <w:t>2013</w:t>
      </w:r>
      <w:r>
        <w:rPr>
          <w:rFonts w:hint="eastAsia" w:ascii="仿宋_GB2312" w:eastAsia="仿宋_GB2312" w:cs="仿宋_GB2312"/>
          <w:color w:val="000000"/>
          <w:kern w:val="0"/>
          <w:sz w:val="32"/>
          <w:szCs w:val="32"/>
        </w:rPr>
        <w:t>年本）》，对园区内企业土地利用情况进行分析，优化产业布局，提高单位面积土地资源的产出率。</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园区应加强工业固体废物综合利用，减少有毒有害废物的产生，提高工业用水重复利用和中水回用。适用时，园区内企业应充分回收利用余热资源、废弃资源和可再生资源，减少资源的浪费。</w:t>
      </w: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园区水资源产出率力争达到</w:t>
      </w:r>
      <w:r>
        <w:rPr>
          <w:rFonts w:ascii="仿宋_GB2312" w:eastAsia="仿宋_GB2312" w:cs="仿宋_GB2312"/>
          <w:color w:val="000000"/>
          <w:kern w:val="0"/>
          <w:sz w:val="32"/>
          <w:szCs w:val="32"/>
        </w:rPr>
        <w:t>1500</w:t>
      </w:r>
      <w:r>
        <w:rPr>
          <w:rFonts w:hint="eastAsia" w:ascii="仿宋_GB2312" w:eastAsia="仿宋_GB2312" w:cs="仿宋_GB2312"/>
          <w:color w:val="000000"/>
          <w:kern w:val="0"/>
          <w:sz w:val="32"/>
          <w:szCs w:val="32"/>
        </w:rPr>
        <w:t>元</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3</w:t>
      </w:r>
      <w:r>
        <w:rPr>
          <w:rFonts w:hint="eastAsia" w:ascii="仿宋_GB2312" w:eastAsia="仿宋_GB2312" w:cs="仿宋_GB2312"/>
          <w:color w:val="000000"/>
          <w:kern w:val="0"/>
          <w:sz w:val="32"/>
          <w:szCs w:val="32"/>
        </w:rPr>
        <w:t>；土地资源产出率力争达到</w:t>
      </w:r>
      <w:r>
        <w:rPr>
          <w:rFonts w:ascii="仿宋_GB2312" w:eastAsia="仿宋_GB2312" w:cs="仿宋_GB2312"/>
          <w:color w:val="000000"/>
          <w:kern w:val="0"/>
          <w:sz w:val="32"/>
          <w:szCs w:val="32"/>
        </w:rPr>
        <w:t>15</w:t>
      </w:r>
      <w:r>
        <w:rPr>
          <w:rFonts w:hint="eastAsia" w:ascii="仿宋_GB2312" w:eastAsia="仿宋_GB2312" w:cs="仿宋_GB2312"/>
          <w:color w:val="000000"/>
          <w:kern w:val="0"/>
          <w:sz w:val="32"/>
          <w:szCs w:val="32"/>
        </w:rPr>
        <w:t>亿元</w:t>
      </w:r>
      <w:r>
        <w:rPr>
          <w:rFonts w:ascii="仿宋_GB2312" w:eastAsia="仿宋_GB2312" w:cs="仿宋_GB2312"/>
          <w:color w:val="000000"/>
          <w:kern w:val="0"/>
          <w:sz w:val="32"/>
          <w:szCs w:val="32"/>
        </w:rPr>
        <w:t>/km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；工业固体废弃物综合利用率力争达到</w:t>
      </w:r>
      <w:r>
        <w:rPr>
          <w:rFonts w:ascii="仿宋_GB2312" w:eastAsia="仿宋_GB2312" w:cs="仿宋_GB2312"/>
          <w:color w:val="000000"/>
          <w:kern w:val="0"/>
          <w:sz w:val="32"/>
          <w:szCs w:val="32"/>
        </w:rPr>
        <w:t>95%</w:t>
      </w:r>
      <w:r>
        <w:rPr>
          <w:rFonts w:hint="eastAsia" w:ascii="仿宋_GB2312" w:eastAsia="仿宋_GB2312" w:cs="仿宋_GB2312"/>
          <w:color w:val="000000"/>
          <w:kern w:val="0"/>
          <w:sz w:val="32"/>
          <w:szCs w:val="32"/>
        </w:rPr>
        <w:t>；工业用水重复利用率力争达到</w:t>
      </w:r>
      <w:r>
        <w:rPr>
          <w:rFonts w:ascii="仿宋_GB2312" w:eastAsia="仿宋_GB2312" w:cs="仿宋_GB2312"/>
          <w:color w:val="000000"/>
          <w:kern w:val="0"/>
          <w:sz w:val="32"/>
          <w:szCs w:val="32"/>
        </w:rPr>
        <w:t>90%</w:t>
      </w:r>
      <w:r>
        <w:rPr>
          <w:rFonts w:hint="eastAsia" w:ascii="仿宋_GB2312" w:eastAsia="仿宋_GB2312" w:cs="仿宋_GB2312"/>
          <w:color w:val="000000"/>
          <w:kern w:val="0"/>
          <w:sz w:val="32"/>
          <w:szCs w:val="32"/>
        </w:rPr>
        <w:t>；中水回用率力争达到</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；余热资源回收利用率力争达到</w:t>
      </w:r>
      <w:r>
        <w:rPr>
          <w:rFonts w:ascii="仿宋_GB2312" w:eastAsia="仿宋_GB2312" w:cs="仿宋_GB2312"/>
          <w:color w:val="000000"/>
          <w:kern w:val="0"/>
          <w:sz w:val="32"/>
          <w:szCs w:val="32"/>
        </w:rPr>
        <w:t>60%</w:t>
      </w:r>
      <w:r>
        <w:rPr>
          <w:rFonts w:hint="eastAsia" w:ascii="仿宋_GB2312" w:eastAsia="仿宋_GB2312" w:cs="仿宋_GB2312"/>
          <w:color w:val="000000"/>
          <w:kern w:val="0"/>
          <w:sz w:val="32"/>
          <w:szCs w:val="32"/>
        </w:rPr>
        <w:t>；废气资源回收利用率力争达到</w:t>
      </w:r>
      <w:r>
        <w:rPr>
          <w:rFonts w:ascii="仿宋_GB2312" w:eastAsia="仿宋_GB2312" w:cs="仿宋_GB2312"/>
          <w:color w:val="000000"/>
          <w:kern w:val="0"/>
          <w:sz w:val="32"/>
          <w:szCs w:val="32"/>
        </w:rPr>
        <w:t>90%</w:t>
      </w:r>
      <w:r>
        <w:rPr>
          <w:rFonts w:hint="eastAsia" w:ascii="仿宋_GB2312" w:eastAsia="仿宋_GB2312" w:cs="仿宋_GB2312"/>
          <w:color w:val="000000"/>
          <w:kern w:val="0"/>
          <w:sz w:val="32"/>
          <w:szCs w:val="32"/>
        </w:rPr>
        <w:t>；再生资源回收利用率力争达到</w:t>
      </w:r>
      <w:r>
        <w:rPr>
          <w:rFonts w:ascii="仿宋_GB2312" w:eastAsia="仿宋_GB2312" w:cs="仿宋_GB2312"/>
          <w:color w:val="000000"/>
          <w:kern w:val="0"/>
          <w:sz w:val="32"/>
          <w:szCs w:val="32"/>
        </w:rPr>
        <w:t>80%</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（三）基础设施</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园区应建有污水集中处理设施，污水处理能力应与园区污水总排放量相匹配。污水接管率达到</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，安装在线监测设施并使用。水体污染物排放应符合相关国家标准、行业标准及地方标准要求并满足区域内排放总量控制要求。</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新建建筑应按照绿色建筑标准设计、建造和运营。建筑材料应选用蕴能低、高性能、高耐久性和本地建材，减少建材在全生命周期中的能源消耗。建筑结构应采用钢结构、砌体结构和木结构等资源消耗和环境影响小的建筑结构体系。</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适用时，园区应建设公共交通设施，如公交站等。园区公交车应优先采用节能或新能源公交车。</w:t>
      </w: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园区内新建工业建筑中绿色建筑的比例力争达到</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；新建公共建筑中绿色建筑的比例力争达到</w:t>
      </w:r>
      <w:r>
        <w:rPr>
          <w:rFonts w:ascii="仿宋_GB2312" w:eastAsia="仿宋_GB2312" w:cs="仿宋_GB2312"/>
          <w:color w:val="000000"/>
          <w:kern w:val="0"/>
          <w:sz w:val="32"/>
          <w:szCs w:val="32"/>
        </w:rPr>
        <w:t>60%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500</w:t>
      </w:r>
      <w:r>
        <w:rPr>
          <w:rFonts w:hint="eastAsia" w:ascii="仿宋_GB2312" w:eastAsia="仿宋_GB2312" w:cs="仿宋_GB2312"/>
          <w:color w:val="000000"/>
          <w:kern w:val="0"/>
          <w:sz w:val="32"/>
          <w:szCs w:val="32"/>
        </w:rPr>
        <w:t>米公交站点覆盖率力争达到</w:t>
      </w:r>
      <w:r>
        <w:rPr>
          <w:rFonts w:ascii="仿宋_GB2312" w:eastAsia="仿宋_GB2312" w:cs="仿宋_GB2312"/>
          <w:color w:val="000000"/>
          <w:kern w:val="0"/>
          <w:sz w:val="32"/>
          <w:szCs w:val="32"/>
        </w:rPr>
        <w:t>90%</w:t>
      </w:r>
      <w:r>
        <w:rPr>
          <w:rFonts w:hint="eastAsia" w:ascii="仿宋_GB2312" w:eastAsia="仿宋_GB2312" w:cs="仿宋_GB2312"/>
          <w:color w:val="000000"/>
          <w:kern w:val="0"/>
          <w:sz w:val="32"/>
          <w:szCs w:val="32"/>
        </w:rPr>
        <w:t>；节能与新能源公交车比例力争达到</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（四）产业</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园区应重点发展高新技术产业、绿色产业，鼓励发展信息服务、咨询服务、节能与环保服务和生产性支持服务等现代服务业，提高产业的绿色化指数。</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高技术产业产值占园区工业总产值比例力争达到</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；绿色产业增加值占园区工业增加值比例力争达到</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；人均工业增加值力争达到</w:t>
      </w:r>
      <w:r>
        <w:rPr>
          <w:rFonts w:ascii="仿宋_GB2312" w:eastAsia="仿宋_GB2312" w:cs="仿宋_GB2312"/>
          <w:color w:val="000000"/>
          <w:kern w:val="0"/>
          <w:sz w:val="32"/>
          <w:szCs w:val="32"/>
        </w:rPr>
        <w:t>15%</w:t>
      </w:r>
      <w:r>
        <w:rPr>
          <w:rFonts w:hint="eastAsia" w:ascii="仿宋_GB2312" w:eastAsia="仿宋_GB2312" w:cs="仿宋_GB2312"/>
          <w:color w:val="000000"/>
          <w:kern w:val="0"/>
          <w:sz w:val="32"/>
          <w:szCs w:val="32"/>
        </w:rPr>
        <w:t>；现代服务业比例力争达到</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（五）生态环境</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园区内工业固体废弃物（含危废）的处理应符合</w:t>
      </w:r>
      <w:r>
        <w:rPr>
          <w:rFonts w:ascii="仿宋_GB2312" w:eastAsia="仿宋_GB2312" w:cs="仿宋_GB2312"/>
          <w:color w:val="000000"/>
          <w:kern w:val="0"/>
          <w:sz w:val="32"/>
          <w:szCs w:val="32"/>
        </w:rPr>
        <w:t>GB 18599</w:t>
      </w:r>
      <w:r>
        <w:rPr>
          <w:rFonts w:hint="eastAsia" w:ascii="仿宋_GB2312" w:eastAsia="仿宋_GB2312" w:cs="仿宋_GB2312"/>
          <w:color w:val="000000"/>
          <w:kern w:val="0"/>
          <w:sz w:val="32"/>
          <w:szCs w:val="32"/>
        </w:rPr>
        <w:t>及相关标准的要求。企业无法自行处理的，应将固体废弃物转交给具备相应能力和资质的处理厂进行处理。工业固体废弃物（含危废）处置利用率应达到</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在创建期内，园区应按照国家“十三五”规划纲要中规定的减排指标和污染物排放下降指标要求，鼓励企业采取节能、减碳和环保技术措施，逐年减少二氧化碳、</w:t>
      </w:r>
      <w:r>
        <w:rPr>
          <w:rFonts w:ascii="仿宋_GB2312" w:eastAsia="仿宋_GB2312" w:cs="仿宋_GB2312"/>
          <w:color w:val="000000"/>
          <w:kern w:val="0"/>
          <w:sz w:val="32"/>
          <w:szCs w:val="32"/>
        </w:rPr>
        <w:t>COD</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SO</w:t>
      </w:r>
      <w:r>
        <w:rPr>
          <w:rFonts w:ascii="仿宋_GB2312" w:eastAsia="仿宋_GB2312" w:cs="仿宋_GB2312"/>
          <w:color w:val="000000"/>
          <w:kern w:val="0"/>
          <w:sz w:val="32"/>
          <w:szCs w:val="32"/>
          <w:vertAlign w:val="subscript"/>
        </w:rPr>
        <w:t>2</w:t>
      </w:r>
      <w:r>
        <w:rPr>
          <w:rFonts w:hint="eastAsia" w:ascii="仿宋_GB2312" w:eastAsia="仿宋_GB2312" w:cs="仿宋_GB2312"/>
          <w:color w:val="000000"/>
          <w:kern w:val="0"/>
          <w:sz w:val="32"/>
          <w:szCs w:val="32"/>
        </w:rPr>
        <w:t>、氨氮、</w:t>
      </w:r>
      <w:r>
        <w:rPr>
          <w:rFonts w:ascii="仿宋_GB2312" w:eastAsia="仿宋_GB2312" w:cs="仿宋_GB2312"/>
          <w:color w:val="000000"/>
          <w:kern w:val="0"/>
          <w:sz w:val="32"/>
          <w:szCs w:val="32"/>
        </w:rPr>
        <w:t>NO</w:t>
      </w:r>
      <w:r>
        <w:rPr>
          <w:rFonts w:ascii="仿宋_GB2312" w:eastAsia="仿宋_GB2312" w:cs="仿宋_GB2312"/>
          <w:color w:val="000000"/>
          <w:kern w:val="0"/>
          <w:sz w:val="32"/>
          <w:szCs w:val="32"/>
          <w:vertAlign w:val="subscript"/>
        </w:rPr>
        <w:t>X</w:t>
      </w:r>
      <w:r>
        <w:rPr>
          <w:rFonts w:hint="eastAsia" w:ascii="仿宋_GB2312" w:eastAsia="仿宋_GB2312" w:cs="仿宋_GB2312"/>
          <w:color w:val="000000"/>
          <w:kern w:val="0"/>
          <w:sz w:val="32"/>
          <w:szCs w:val="32"/>
        </w:rPr>
        <w:t>等排放量。创建期内园区平均每年万元工业增加值碳排放量消减率应力争达到</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，平均每年单位工业增加值废水排放量力争达到</w:t>
      </w: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t/万元，平均每年主要污染物弹性系数力争达到</w:t>
      </w:r>
      <w:r>
        <w:rPr>
          <w:rFonts w:ascii="仿宋_GB2312" w:eastAsia="仿宋_GB2312" w:cs="仿宋_GB2312"/>
          <w:color w:val="000000"/>
          <w:kern w:val="0"/>
          <w:sz w:val="32"/>
          <w:szCs w:val="32"/>
        </w:rPr>
        <w:t>0.3</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园区应加强空气质量监测，提高绿化覆盖率、道路遮荫比例和露天停车场遮荫比例。园区空气质量优良率力争达到</w:t>
      </w:r>
      <w:r>
        <w:rPr>
          <w:rFonts w:ascii="仿宋_GB2312" w:eastAsia="仿宋_GB2312" w:cs="仿宋_GB2312"/>
          <w:color w:val="000000"/>
          <w:kern w:val="0"/>
          <w:sz w:val="32"/>
          <w:szCs w:val="32"/>
        </w:rPr>
        <w:t>80%</w:t>
      </w:r>
      <w:r>
        <w:rPr>
          <w:rFonts w:hint="eastAsia" w:ascii="仿宋_GB2312" w:eastAsia="仿宋_GB2312" w:cs="仿宋_GB2312"/>
          <w:color w:val="000000"/>
          <w:kern w:val="0"/>
          <w:sz w:val="32"/>
          <w:szCs w:val="32"/>
        </w:rPr>
        <w:t>，绿化覆盖率力争达到</w:t>
      </w:r>
      <w:r>
        <w:rPr>
          <w:rFonts w:ascii="仿宋_GB2312" w:eastAsia="仿宋_GB2312" w:cs="仿宋_GB2312"/>
          <w:color w:val="000000"/>
          <w:kern w:val="0"/>
          <w:sz w:val="32"/>
          <w:szCs w:val="32"/>
        </w:rPr>
        <w:t>30%</w:t>
      </w:r>
      <w:r>
        <w:rPr>
          <w:rFonts w:hint="eastAsia" w:ascii="仿宋_GB2312" w:eastAsia="仿宋_GB2312" w:cs="仿宋_GB2312"/>
          <w:color w:val="000000"/>
          <w:kern w:val="0"/>
          <w:sz w:val="32"/>
          <w:szCs w:val="32"/>
        </w:rPr>
        <w:t>，道路遮荫比例力争达到</w:t>
      </w:r>
      <w:r>
        <w:rPr>
          <w:rFonts w:ascii="仿宋_GB2312" w:eastAsia="仿宋_GB2312" w:cs="仿宋_GB2312"/>
          <w:color w:val="000000"/>
          <w:kern w:val="0"/>
          <w:sz w:val="32"/>
          <w:szCs w:val="32"/>
        </w:rPr>
        <w:t>80%</w:t>
      </w:r>
      <w:r>
        <w:rPr>
          <w:rFonts w:hint="eastAsia" w:ascii="仿宋_GB2312" w:eastAsia="仿宋_GB2312" w:cs="仿宋_GB2312"/>
          <w:color w:val="000000"/>
          <w:kern w:val="0"/>
          <w:sz w:val="32"/>
          <w:szCs w:val="32"/>
        </w:rPr>
        <w:t>，露天停车场遮荫比例力争达到</w:t>
      </w:r>
      <w:r>
        <w:rPr>
          <w:rFonts w:ascii="仿宋_GB2312" w:eastAsia="仿宋_GB2312" w:cs="仿宋_GB2312"/>
          <w:color w:val="000000"/>
          <w:kern w:val="0"/>
          <w:sz w:val="32"/>
          <w:szCs w:val="32"/>
        </w:rPr>
        <w:t>80%</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（六）运行管理</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园区应建立履行绿色发展工作职责的专门机构、配备</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名以上专职工作人员。园区应按照绿色园区创建内容编制绿色园区发展规划，原则上每五年编制一次。</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建立与其产业链和主导产业相适应的绿色园区标准体系，具体包括能源利用绿色化标准、资源利用绿色化标准、基础设施绿色化标准、产业绿色化标准、生态环境绿色化标准等；应制定监管强制性绿色相关标准执行的有关制度文件，并开展绿色相关标准的宣贯和培训等。</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园区应按照</w:t>
      </w:r>
      <w:r>
        <w:rPr>
          <w:rFonts w:ascii="仿宋_GB2312" w:eastAsia="仿宋_GB2312" w:cs="仿宋_GB2312"/>
          <w:color w:val="000000"/>
          <w:kern w:val="0"/>
          <w:sz w:val="32"/>
          <w:szCs w:val="32"/>
        </w:rPr>
        <w:t>GB/T 24001</w:t>
      </w:r>
      <w:r>
        <w:rPr>
          <w:rFonts w:hint="eastAsia" w:ascii="仿宋_GB2312" w:eastAsia="仿宋_GB2312" w:cs="仿宋_GB2312"/>
          <w:color w:val="000000"/>
          <w:kern w:val="0"/>
          <w:sz w:val="32"/>
          <w:szCs w:val="32"/>
        </w:rPr>
        <w:t>和</w:t>
      </w:r>
      <w:r>
        <w:rPr>
          <w:rFonts w:ascii="仿宋_GB2312" w:eastAsia="仿宋_GB2312" w:cs="仿宋_GB2312"/>
          <w:color w:val="000000"/>
          <w:kern w:val="0"/>
          <w:sz w:val="32"/>
          <w:szCs w:val="32"/>
        </w:rPr>
        <w:t>GB/T 23331</w:t>
      </w:r>
      <w:r>
        <w:rPr>
          <w:rFonts w:hint="eastAsia" w:ascii="仿宋_GB2312" w:eastAsia="仿宋_GB2312" w:cs="仿宋_GB2312"/>
          <w:color w:val="000000"/>
          <w:kern w:val="0"/>
          <w:sz w:val="32"/>
          <w:szCs w:val="32"/>
        </w:rPr>
        <w:t>的要求，建立并运行环境管理体系和能源管理体系。园区应建立能耗在线监测管理平台、环境监测管理平台，定期对监测数据进行分析和提出持续改善措施。</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园区应创建局域网并定期在园区管委会网站、局域网或相关网站上发布绿色园区建设和改造信息、主要行业清洁生产技术信息（主要包括原材料选择、节水、节能、环保等方面）、废物资源化技术信息、绿色建筑技术信息、绿色交通技术信息等。</w:t>
      </w:r>
    </w:p>
    <w:p>
      <w:pPr>
        <w:autoSpaceDE w:val="0"/>
        <w:autoSpaceDN w:val="0"/>
        <w:adjustRightInd w:val="0"/>
        <w:snapToGrid w:val="0"/>
        <w:spacing w:line="360" w:lineRule="auto"/>
        <w:ind w:firstLine="640" w:firstLineChars="200"/>
        <w:outlineLvl w:val="0"/>
        <w:rPr>
          <w:rFonts w:ascii="黑体" w:eastAsia="黑体" w:cs="Times New Roman"/>
          <w:color w:val="000000"/>
          <w:kern w:val="0"/>
          <w:sz w:val="32"/>
          <w:szCs w:val="32"/>
        </w:rPr>
      </w:pPr>
      <w:r>
        <w:rPr>
          <w:rFonts w:hint="eastAsia" w:ascii="黑体" w:eastAsia="黑体" w:cs="黑体"/>
          <w:color w:val="000000"/>
          <w:kern w:val="0"/>
          <w:sz w:val="32"/>
          <w:szCs w:val="32"/>
        </w:rPr>
        <w:t>四、评价要求</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（一）评价要求</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绿色园区评价内容包括能源利用绿色化、资源利用绿色化、基础设施绿色化、产业绿色化、生态环境绿色化和运行管理绿色化共</w:t>
      </w: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个方面。</w:t>
      </w: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工业园区绿色指数（GI）作为绿色园区评价得分。绿色园区评价总分为100分，以近三年工业园区绿色指数平均值作为最终评价得分。评分得分达到</w:t>
      </w:r>
      <w:r>
        <w:rPr>
          <w:rFonts w:ascii="仿宋_GB2312" w:eastAsia="仿宋_GB2312" w:cs="仿宋_GB2312"/>
          <w:color w:val="000000"/>
          <w:kern w:val="0"/>
          <w:sz w:val="32"/>
          <w:szCs w:val="32"/>
        </w:rPr>
        <w:t>80</w:t>
      </w:r>
      <w:r>
        <w:rPr>
          <w:rFonts w:hint="eastAsia" w:ascii="仿宋_GB2312" w:eastAsia="仿宋_GB2312" w:cs="仿宋_GB2312"/>
          <w:color w:val="000000"/>
          <w:kern w:val="0"/>
          <w:sz w:val="32"/>
          <w:szCs w:val="32"/>
        </w:rPr>
        <w:t>分及以上的，可推荐为省级绿色园区示范单位；评价得分达到</w:t>
      </w:r>
      <w:r>
        <w:rPr>
          <w:rFonts w:ascii="仿宋_GB2312" w:eastAsia="仿宋_GB2312" w:cs="仿宋_GB2312"/>
          <w:color w:val="000000"/>
          <w:kern w:val="0"/>
          <w:sz w:val="32"/>
          <w:szCs w:val="32"/>
        </w:rPr>
        <w:t>90</w:t>
      </w:r>
      <w:r>
        <w:rPr>
          <w:rFonts w:hint="eastAsia" w:ascii="仿宋_GB2312" w:eastAsia="仿宋_GB2312" w:cs="仿宋_GB2312"/>
          <w:color w:val="000000"/>
          <w:kern w:val="0"/>
          <w:sz w:val="32"/>
          <w:szCs w:val="32"/>
        </w:rPr>
        <w:t>分及以上的，择优推荐申报国家级绿色园区。</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（二）评价指标体系</w:t>
      </w: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绿色园区评价基本要求和评分要求见表</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和表</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w:t>
      </w: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sectPr>
          <w:headerReference r:id="rId4" w:type="default"/>
          <w:footerReference r:id="rId5" w:type="default"/>
          <w:pgSz w:w="11906" w:h="16838"/>
          <w:pgMar w:top="1701" w:right="1418" w:bottom="1418" w:left="1134" w:header="851" w:footer="992" w:gutter="0"/>
          <w:pgNumType w:fmt="numberInDash"/>
          <w:cols w:space="720" w:num="1"/>
          <w:docGrid w:type="lines" w:linePitch="312" w:charSpace="0"/>
        </w:sectPr>
      </w:pPr>
    </w:p>
    <w:p>
      <w:pPr>
        <w:autoSpaceDE w:val="0"/>
        <w:autoSpaceDN w:val="0"/>
        <w:adjustRightInd w:val="0"/>
        <w:snapToGrid w:val="0"/>
        <w:spacing w:line="360" w:lineRule="auto"/>
        <w:ind w:firstLine="480" w:firstLineChars="200"/>
        <w:rPr>
          <w:rFonts w:ascii="仿宋_GB2312" w:eastAsia="仿宋_GB2312" w:cs="Times New Roman"/>
          <w:color w:val="000000"/>
          <w:kern w:val="0"/>
          <w:sz w:val="24"/>
          <w:szCs w:val="24"/>
        </w:rPr>
      </w:pPr>
    </w:p>
    <w:p>
      <w:pPr>
        <w:spacing w:line="360" w:lineRule="auto"/>
        <w:jc w:val="center"/>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表</w:t>
      </w:r>
      <w:r>
        <w:rPr>
          <w:rFonts w:ascii="仿宋" w:hAnsi="仿宋" w:eastAsia="仿宋" w:cs="仿宋"/>
          <w:b/>
          <w:bCs/>
          <w:color w:val="000000"/>
          <w:kern w:val="0"/>
          <w:sz w:val="30"/>
          <w:szCs w:val="30"/>
        </w:rPr>
        <w:t xml:space="preserve">1 </w:t>
      </w:r>
      <w:r>
        <w:rPr>
          <w:rFonts w:hint="eastAsia" w:ascii="仿宋" w:hAnsi="仿宋" w:eastAsia="仿宋" w:cs="仿宋"/>
          <w:b/>
          <w:bCs/>
          <w:color w:val="000000"/>
          <w:kern w:val="0"/>
          <w:sz w:val="30"/>
          <w:szCs w:val="30"/>
        </w:rPr>
        <w:t>绿色园区评价指标表（基本要求）</w:t>
      </w:r>
    </w:p>
    <w:p>
      <w:pPr>
        <w:adjustRightInd w:val="0"/>
        <w:snapToGrid w:val="0"/>
        <w:ind w:left="1120" w:hanging="1120" w:hangingChars="400"/>
        <w:rPr>
          <w:rFonts w:ascii="仿宋_GB2312" w:eastAsia="仿宋_GB2312" w:cs="Times New Roman"/>
          <w:color w:val="000000"/>
          <w:kern w:val="0"/>
          <w:sz w:val="28"/>
          <w:szCs w:val="28"/>
        </w:rPr>
      </w:pPr>
      <w:r>
        <w:rPr>
          <w:rFonts w:hint="eastAsia" w:ascii="仿宋_GB2312" w:eastAsia="仿宋_GB2312" w:cs="仿宋_GB2312"/>
          <w:color w:val="000000"/>
          <w:kern w:val="0"/>
          <w:sz w:val="28"/>
          <w:szCs w:val="28"/>
        </w:rPr>
        <w:t>说明：</w:t>
      </w:r>
      <w:r>
        <w:rPr>
          <w:rFonts w:ascii="仿宋_GB2312" w:eastAsia="仿宋_GB2312" w:cs="仿宋_GB2312"/>
          <w:color w:val="000000"/>
          <w:kern w:val="0"/>
          <w:sz w:val="28"/>
          <w:szCs w:val="28"/>
        </w:rPr>
        <w:t>1.</w:t>
      </w:r>
      <w:r>
        <w:rPr>
          <w:rFonts w:hint="eastAsia" w:ascii="仿宋_GB2312" w:eastAsia="仿宋_GB2312" w:cs="仿宋_GB2312"/>
          <w:color w:val="000000"/>
          <w:kern w:val="0"/>
          <w:sz w:val="28"/>
          <w:szCs w:val="28"/>
        </w:rPr>
        <w:t>基本要求为申请绿色园区评价的必要条件，如有任何一项不满足评价要求，不得通过绿色园区评价</w:t>
      </w:r>
      <w:r>
        <w:rPr>
          <w:rFonts w:hint="eastAsia" w:ascii="仿宋_GB2312" w:eastAsia="仿宋_GB2312" w:cs="仿宋_GB2312"/>
          <w:color w:val="000000"/>
          <w:kern w:val="0"/>
          <w:sz w:val="28"/>
          <w:szCs w:val="28"/>
          <w:lang w:eastAsia="zh-CN"/>
        </w:rPr>
        <w:t>；</w:t>
      </w:r>
    </w:p>
    <w:p>
      <w:pPr>
        <w:adjustRightInd w:val="0"/>
        <w:snapToGrid w:val="0"/>
        <w:ind w:firstLine="840" w:firstLineChars="300"/>
        <w:rPr>
          <w:rFonts w:ascii="仿宋" w:hAnsi="仿宋" w:eastAsia="仿宋" w:cs="Times New Roman"/>
          <w:b/>
          <w:bCs/>
          <w:color w:val="000000"/>
          <w:sz w:val="30"/>
          <w:szCs w:val="30"/>
        </w:rPr>
      </w:pPr>
      <w:r>
        <w:rPr>
          <w:rFonts w:ascii="仿宋_GB2312" w:eastAsia="仿宋_GB2312" w:cs="仿宋_GB2312"/>
          <w:color w:val="000000"/>
          <w:kern w:val="0"/>
          <w:sz w:val="28"/>
          <w:szCs w:val="28"/>
        </w:rPr>
        <w:t>2.</w:t>
      </w:r>
      <w:r>
        <w:rPr>
          <w:rFonts w:hint="eastAsia" w:ascii="仿宋_GB2312" w:eastAsia="仿宋_GB2312" w:cs="仿宋_GB2312"/>
          <w:color w:val="000000"/>
          <w:kern w:val="0"/>
          <w:sz w:val="28"/>
          <w:szCs w:val="28"/>
        </w:rPr>
        <w:t>符合评价要求的请打“√”，不符合的请打“×”。</w:t>
      </w:r>
    </w:p>
    <w:tbl>
      <w:tblPr>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98"/>
        <w:gridCol w:w="7612"/>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98" w:type="dxa"/>
            <w:vAlign w:val="center"/>
          </w:tcPr>
          <w:p>
            <w:pPr>
              <w:adjustRightInd w:val="0"/>
              <w:snapToGrid w:val="0"/>
              <w:spacing w:beforeLines="20" w:afterLines="20" w:line="276" w:lineRule="auto"/>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序号</w:t>
            </w:r>
          </w:p>
        </w:tc>
        <w:tc>
          <w:tcPr>
            <w:tcW w:w="7612" w:type="dxa"/>
            <w:vAlign w:val="center"/>
          </w:tcPr>
          <w:p>
            <w:pPr>
              <w:adjustRightInd w:val="0"/>
              <w:snapToGrid w:val="0"/>
              <w:spacing w:beforeLines="20" w:afterLines="20" w:line="276" w:lineRule="auto"/>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具体评价要求</w:t>
            </w:r>
          </w:p>
        </w:tc>
        <w:tc>
          <w:tcPr>
            <w:tcW w:w="934" w:type="dxa"/>
            <w:vAlign w:val="top"/>
          </w:tcPr>
          <w:p>
            <w:pPr>
              <w:adjustRightInd w:val="0"/>
              <w:snapToGrid w:val="0"/>
              <w:spacing w:beforeLines="20" w:afterLines="20" w:line="276" w:lineRule="auto"/>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是否</w:t>
            </w:r>
          </w:p>
          <w:p>
            <w:pPr>
              <w:adjustRightInd w:val="0"/>
              <w:snapToGrid w:val="0"/>
              <w:spacing w:beforeLines="20" w:afterLines="20" w:line="276" w:lineRule="auto"/>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w:t>
            </w:r>
          </w:p>
        </w:tc>
        <w:tc>
          <w:tcPr>
            <w:tcW w:w="7612"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园区有效地贯彻执行国家和地方绿色、循环和低碳相关法律法规、政策和标准。</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2</w:t>
            </w:r>
          </w:p>
        </w:tc>
        <w:tc>
          <w:tcPr>
            <w:tcW w:w="7612"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近三年，园区内未发生较大质量、安全、环境事故或较大生态破坏事件。</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3</w:t>
            </w:r>
          </w:p>
        </w:tc>
        <w:tc>
          <w:tcPr>
            <w:tcW w:w="7612" w:type="dxa"/>
            <w:vAlign w:val="top"/>
          </w:tcPr>
          <w:p>
            <w:pPr>
              <w:adjustRightInd w:val="0"/>
              <w:snapToGrid w:val="0"/>
              <w:spacing w:beforeLines="20" w:afterLines="20" w:line="276" w:lineRule="auto"/>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园区内企业完成了国家或地方政府下达的节能减排指标，碳排放强度持续下降。</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4</w:t>
            </w:r>
          </w:p>
        </w:tc>
        <w:tc>
          <w:tcPr>
            <w:tcW w:w="7612"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园区环境质量达到国家或地方规定的环境功能区环境质量标准，园区内企业污染物达标排放，各类重点污染物排放总量均不超过国家或地方的总量控制要求。</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9" w:hRule="atLeast"/>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w:t>
            </w:r>
          </w:p>
        </w:tc>
        <w:tc>
          <w:tcPr>
            <w:tcW w:w="7612" w:type="dxa"/>
            <w:vAlign w:val="center"/>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园区重点企业</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实施清洁生产审核，园区非重点企业</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实施清洁生产改造。（注：重点企业是指《清洁生产促进法》中规定的应当实施强制性清洁生产审核的企业，即评审期当年及之前公布的重点企业清洁生产审核名单中的企业）</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6</w:t>
            </w:r>
          </w:p>
        </w:tc>
        <w:tc>
          <w:tcPr>
            <w:tcW w:w="7612"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园区企业不应使用国家列入淘汰目录的落后生产技术、工艺和设备，不应生产国家列入淘汰目录的产品。</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7</w:t>
            </w:r>
          </w:p>
        </w:tc>
        <w:tc>
          <w:tcPr>
            <w:tcW w:w="7612"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园区应建立履行绿色发展工作职责的专门机构，配备</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名以上专职工作人员。</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8</w:t>
            </w:r>
          </w:p>
        </w:tc>
        <w:tc>
          <w:tcPr>
            <w:tcW w:w="7612"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园区应建立并运行环境管理体系和能源管理体系，建立园区能耗在线监测管理平台。</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798"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9</w:t>
            </w:r>
          </w:p>
        </w:tc>
        <w:tc>
          <w:tcPr>
            <w:tcW w:w="7612"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r>
              <w:rPr>
                <w:rFonts w:hint="eastAsia" w:ascii="仿宋_GB2312" w:hAnsi="宋体" w:eastAsia="仿宋_GB2312" w:cs="仿宋_GB2312"/>
                <w:color w:val="000000"/>
                <w:kern w:val="0"/>
                <w:sz w:val="28"/>
                <w:szCs w:val="28"/>
              </w:rPr>
              <w:t>园区应建设并运行风能或太阳能等可再生能源利用设施。</w:t>
            </w:r>
          </w:p>
        </w:tc>
        <w:tc>
          <w:tcPr>
            <w:tcW w:w="934" w:type="dxa"/>
            <w:vAlign w:val="top"/>
          </w:tcPr>
          <w:p>
            <w:pPr>
              <w:adjustRightInd w:val="0"/>
              <w:snapToGrid w:val="0"/>
              <w:spacing w:beforeLines="20" w:afterLines="20" w:line="276" w:lineRule="auto"/>
              <w:rPr>
                <w:rFonts w:ascii="仿宋_GB2312" w:hAnsi="宋体" w:eastAsia="仿宋_GB2312" w:cs="Times New Roman"/>
                <w:color w:val="000000"/>
                <w:kern w:val="0"/>
                <w:sz w:val="28"/>
                <w:szCs w:val="28"/>
              </w:rPr>
            </w:pPr>
          </w:p>
        </w:tc>
      </w:tr>
    </w:tbl>
    <w:p>
      <w:pPr>
        <w:autoSpaceDE w:val="0"/>
        <w:autoSpaceDN w:val="0"/>
        <w:adjustRightInd w:val="0"/>
        <w:snapToGrid w:val="0"/>
        <w:spacing w:line="360" w:lineRule="auto"/>
        <w:rPr>
          <w:rFonts w:ascii="仿宋_GB2312" w:eastAsia="仿宋_GB2312" w:cs="Times New Roman"/>
          <w:color w:val="000000"/>
          <w:kern w:val="0"/>
          <w:sz w:val="24"/>
          <w:szCs w:val="24"/>
        </w:rPr>
      </w:pPr>
    </w:p>
    <w:p>
      <w:pPr>
        <w:autoSpaceDE w:val="0"/>
        <w:autoSpaceDN w:val="0"/>
        <w:adjustRightInd w:val="0"/>
        <w:snapToGrid w:val="0"/>
        <w:spacing w:line="360" w:lineRule="auto"/>
        <w:rPr>
          <w:rFonts w:ascii="仿宋_GB2312" w:eastAsia="仿宋_GB2312" w:cs="Times New Roman"/>
          <w:color w:val="000000"/>
          <w:kern w:val="0"/>
          <w:sz w:val="24"/>
          <w:szCs w:val="24"/>
        </w:rPr>
        <w:sectPr>
          <w:pgSz w:w="11906" w:h="16838"/>
          <w:pgMar w:top="1701" w:right="1418" w:bottom="1418" w:left="1134" w:header="851" w:footer="992" w:gutter="0"/>
          <w:pgNumType w:fmt="numberInDash"/>
          <w:cols w:space="720" w:num="1"/>
          <w:docGrid w:type="lines" w:linePitch="312" w:charSpace="0"/>
        </w:sectPr>
      </w:pPr>
    </w:p>
    <w:p>
      <w:pPr>
        <w:spacing w:beforeLines="50" w:afterLines="50" w:line="360" w:lineRule="auto"/>
        <w:jc w:val="center"/>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表</w:t>
      </w:r>
      <w:r>
        <w:rPr>
          <w:rFonts w:ascii="仿宋" w:hAnsi="仿宋" w:eastAsia="仿宋" w:cs="仿宋"/>
          <w:b/>
          <w:bCs/>
          <w:color w:val="000000"/>
          <w:kern w:val="0"/>
          <w:sz w:val="30"/>
          <w:szCs w:val="30"/>
        </w:rPr>
        <w:t xml:space="preserve">2 </w:t>
      </w:r>
      <w:r>
        <w:rPr>
          <w:rFonts w:hint="eastAsia" w:ascii="仿宋" w:hAnsi="仿宋" w:eastAsia="仿宋" w:cs="仿宋"/>
          <w:b/>
          <w:bCs/>
          <w:color w:val="000000"/>
          <w:kern w:val="0"/>
          <w:sz w:val="30"/>
          <w:szCs w:val="30"/>
        </w:rPr>
        <w:t>绿色园区评价指标表（评分要求）</w:t>
      </w:r>
    </w:p>
    <w:p>
      <w:pPr>
        <w:adjustRightInd w:val="0"/>
        <w:snapToGrid w:val="0"/>
        <w:rPr>
          <w:rFonts w:ascii="仿宋_GB2312" w:eastAsia="仿宋_GB2312" w:cs="Times New Roman"/>
          <w:color w:val="000000"/>
          <w:kern w:val="0"/>
          <w:sz w:val="28"/>
          <w:szCs w:val="28"/>
        </w:rPr>
      </w:pPr>
      <w:r>
        <w:rPr>
          <w:rFonts w:hint="eastAsia" w:ascii="仿宋_GB2312" w:eastAsia="仿宋_GB2312" w:cs="仿宋_GB2312"/>
          <w:color w:val="000000"/>
          <w:kern w:val="0"/>
          <w:sz w:val="28"/>
          <w:szCs w:val="28"/>
        </w:rPr>
        <w:t>说明：</w:t>
      </w:r>
      <w:r>
        <w:rPr>
          <w:rFonts w:ascii="仿宋_GB2312" w:eastAsia="仿宋_GB2312" w:cs="仿宋_GB2312"/>
          <w:color w:val="000000"/>
          <w:kern w:val="0"/>
          <w:sz w:val="28"/>
          <w:szCs w:val="28"/>
        </w:rPr>
        <w:t>1.评分</w:t>
      </w:r>
      <w:r>
        <w:rPr>
          <w:rFonts w:hint="eastAsia" w:ascii="仿宋_GB2312" w:eastAsia="仿宋_GB2312" w:cs="仿宋_GB2312"/>
          <w:color w:val="000000"/>
          <w:kern w:val="0"/>
          <w:sz w:val="28"/>
          <w:szCs w:val="28"/>
        </w:rPr>
        <w:t>要求是绿色园区评价打分的要求，总分为</w:t>
      </w:r>
      <w:r>
        <w:rPr>
          <w:rFonts w:ascii="仿宋_GB2312" w:eastAsia="仿宋_GB2312" w:cs="仿宋_GB2312"/>
          <w:color w:val="000000"/>
          <w:kern w:val="0"/>
          <w:sz w:val="28"/>
          <w:szCs w:val="28"/>
        </w:rPr>
        <w:t>100</w:t>
      </w:r>
      <w:r>
        <w:rPr>
          <w:rFonts w:hint="eastAsia" w:ascii="仿宋_GB2312" w:eastAsia="仿宋_GB2312" w:cs="仿宋_GB2312"/>
          <w:color w:val="000000"/>
          <w:kern w:val="0"/>
          <w:sz w:val="28"/>
          <w:szCs w:val="28"/>
        </w:rPr>
        <w:t>分；</w:t>
      </w:r>
    </w:p>
    <w:p>
      <w:pPr>
        <w:pStyle w:val="22"/>
        <w:adjustRightInd w:val="0"/>
        <w:snapToGrid w:val="0"/>
        <w:ind w:firstLine="840" w:firstLineChars="300"/>
        <w:rPr>
          <w:rFonts w:ascii="仿宋_GB2312" w:eastAsia="仿宋_GB2312" w:cs="仿宋_GB2312"/>
          <w:color w:val="000000"/>
          <w:kern w:val="0"/>
          <w:sz w:val="28"/>
          <w:szCs w:val="28"/>
        </w:rPr>
      </w:pPr>
      <w:r>
        <w:rPr>
          <w:rFonts w:ascii="仿宋_GB2312" w:eastAsia="仿宋_GB2312" w:cs="仿宋_GB2312"/>
          <w:color w:val="000000"/>
          <w:kern w:val="0"/>
          <w:sz w:val="28"/>
          <w:szCs w:val="28"/>
        </w:rPr>
        <w:t>2</w:t>
      </w:r>
      <w:r>
        <w:rPr>
          <w:rFonts w:hint="eastAsia" w:ascii="仿宋_GB2312" w:eastAsia="仿宋_GB2312" w:cs="仿宋_GB2312"/>
          <w:color w:val="000000"/>
          <w:kern w:val="0"/>
          <w:sz w:val="28"/>
          <w:szCs w:val="28"/>
        </w:rPr>
        <w:t>.工业园区绿色指数（GI）为绿色园区评价得分。</w:t>
      </w:r>
    </w:p>
    <w:tbl>
      <w:tblPr>
        <w:tblW w:w="13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08"/>
        <w:gridCol w:w="888"/>
        <w:gridCol w:w="1936"/>
        <w:gridCol w:w="976"/>
        <w:gridCol w:w="902"/>
        <w:gridCol w:w="1045"/>
        <w:gridCol w:w="120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jc w:val="center"/>
        </w:trPr>
        <w:tc>
          <w:tcPr>
            <w:tcW w:w="1508" w:type="dxa"/>
            <w:vAlign w:val="center"/>
          </w:tcPr>
          <w:p>
            <w:pPr>
              <w:adjustRightInd w:val="0"/>
              <w:snapToGrid w:val="0"/>
              <w:jc w:val="center"/>
              <w:rPr>
                <w:rFonts w:hint="eastAsia" w:ascii="仿宋_GB2312" w:hAnsi="仿宋" w:eastAsia="仿宋_GB2312" w:cs="Times New Roman"/>
                <w:b/>
                <w:bCs/>
                <w:color w:val="000000"/>
                <w:sz w:val="28"/>
                <w:szCs w:val="28"/>
              </w:rPr>
            </w:pPr>
            <w:r>
              <w:rPr>
                <w:rFonts w:hint="eastAsia" w:ascii="仿宋_GB2312" w:hAnsi="仿宋" w:eastAsia="仿宋_GB2312" w:cs="仿宋"/>
                <w:b/>
                <w:bCs/>
                <w:color w:val="000000"/>
                <w:kern w:val="0"/>
                <w:sz w:val="28"/>
                <w:szCs w:val="28"/>
              </w:rPr>
              <w:t>一级指标</w:t>
            </w:r>
          </w:p>
        </w:tc>
        <w:tc>
          <w:tcPr>
            <w:tcW w:w="888" w:type="dxa"/>
            <w:vAlign w:val="center"/>
          </w:tcPr>
          <w:p>
            <w:pPr>
              <w:adjustRightInd w:val="0"/>
              <w:snapToGrid w:val="0"/>
              <w:jc w:val="center"/>
              <w:rPr>
                <w:rFonts w:hint="eastAsia" w:ascii="仿宋_GB2312" w:hAnsi="仿宋" w:eastAsia="仿宋_GB2312" w:cs="Times New Roman"/>
                <w:b/>
                <w:bCs/>
                <w:color w:val="000000"/>
                <w:sz w:val="28"/>
                <w:szCs w:val="28"/>
              </w:rPr>
            </w:pPr>
            <w:r>
              <w:rPr>
                <w:rFonts w:hint="eastAsia" w:ascii="仿宋_GB2312" w:hAnsi="仿宋" w:eastAsia="仿宋_GB2312" w:cs="仿宋"/>
                <w:b/>
                <w:bCs/>
                <w:color w:val="000000"/>
                <w:kern w:val="0"/>
                <w:sz w:val="28"/>
                <w:szCs w:val="28"/>
              </w:rPr>
              <w:t>序号</w:t>
            </w:r>
          </w:p>
        </w:tc>
        <w:tc>
          <w:tcPr>
            <w:tcW w:w="1936" w:type="dxa"/>
            <w:vAlign w:val="center"/>
          </w:tcPr>
          <w:p>
            <w:pPr>
              <w:adjustRightInd w:val="0"/>
              <w:snapToGrid w:val="0"/>
              <w:jc w:val="center"/>
              <w:rPr>
                <w:rFonts w:hint="eastAsia" w:ascii="仿宋_GB2312" w:hAnsi="仿宋" w:eastAsia="仿宋_GB2312" w:cs="Times New Roman"/>
                <w:b/>
                <w:bCs/>
                <w:color w:val="000000"/>
                <w:sz w:val="28"/>
                <w:szCs w:val="28"/>
              </w:rPr>
            </w:pPr>
            <w:r>
              <w:rPr>
                <w:rFonts w:hint="eastAsia" w:ascii="仿宋_GB2312" w:hAnsi="仿宋" w:eastAsia="仿宋_GB2312" w:cs="仿宋"/>
                <w:b/>
                <w:bCs/>
                <w:color w:val="000000"/>
                <w:kern w:val="0"/>
                <w:sz w:val="28"/>
                <w:szCs w:val="28"/>
              </w:rPr>
              <w:t>二级指标</w:t>
            </w:r>
          </w:p>
        </w:tc>
        <w:tc>
          <w:tcPr>
            <w:tcW w:w="976" w:type="dxa"/>
            <w:vAlign w:val="center"/>
          </w:tcPr>
          <w:p>
            <w:pPr>
              <w:adjustRightInd w:val="0"/>
              <w:snapToGrid w:val="0"/>
              <w:jc w:val="center"/>
              <w:rPr>
                <w:rFonts w:hint="eastAsia" w:ascii="仿宋_GB2312" w:hAnsi="仿宋" w:eastAsia="仿宋_GB2312" w:cs="Times New Roman"/>
                <w:b/>
                <w:bCs/>
                <w:color w:val="000000"/>
                <w:sz w:val="28"/>
                <w:szCs w:val="28"/>
              </w:rPr>
            </w:pPr>
            <w:r>
              <w:rPr>
                <w:rFonts w:hint="eastAsia" w:ascii="仿宋_GB2312" w:hAnsi="仿宋" w:eastAsia="仿宋_GB2312" w:cs="仿宋"/>
                <w:b/>
                <w:bCs/>
                <w:color w:val="000000"/>
                <w:kern w:val="0"/>
                <w:sz w:val="28"/>
                <w:szCs w:val="28"/>
              </w:rPr>
              <w:t>单位</w:t>
            </w:r>
          </w:p>
        </w:tc>
        <w:tc>
          <w:tcPr>
            <w:tcW w:w="902" w:type="dxa"/>
            <w:vAlign w:val="center"/>
          </w:tcPr>
          <w:p>
            <w:pPr>
              <w:adjustRightInd w:val="0"/>
              <w:snapToGrid w:val="0"/>
              <w:jc w:val="center"/>
              <w:rPr>
                <w:rFonts w:hint="eastAsia" w:ascii="仿宋_GB2312" w:hAnsi="仿宋" w:eastAsia="仿宋_GB2312" w:cs="Times New Roman"/>
                <w:b/>
                <w:bCs/>
                <w:color w:val="000000"/>
                <w:sz w:val="28"/>
                <w:szCs w:val="28"/>
              </w:rPr>
            </w:pPr>
            <w:r>
              <w:rPr>
                <w:rFonts w:hint="eastAsia" w:ascii="仿宋_GB2312" w:hAnsi="仿宋" w:eastAsia="仿宋_GB2312" w:cs="仿宋"/>
                <w:b/>
                <w:bCs/>
                <w:color w:val="000000"/>
                <w:kern w:val="0"/>
                <w:sz w:val="28"/>
                <w:szCs w:val="28"/>
              </w:rPr>
              <w:t>引领值</w:t>
            </w:r>
          </w:p>
        </w:tc>
        <w:tc>
          <w:tcPr>
            <w:tcW w:w="1045" w:type="dxa"/>
            <w:vAlign w:val="center"/>
          </w:tcPr>
          <w:p>
            <w:pPr>
              <w:adjustRightInd w:val="0"/>
              <w:snapToGrid w:val="0"/>
              <w:jc w:val="center"/>
              <w:rPr>
                <w:rFonts w:hint="eastAsia" w:ascii="仿宋_GB2312" w:hAnsi="仿宋" w:eastAsia="仿宋_GB2312" w:cs="Times New Roman"/>
                <w:b/>
                <w:bCs/>
                <w:color w:val="000000"/>
                <w:sz w:val="28"/>
                <w:szCs w:val="28"/>
              </w:rPr>
            </w:pPr>
            <w:r>
              <w:rPr>
                <w:rFonts w:hint="eastAsia" w:ascii="仿宋_GB2312" w:hAnsi="仿宋" w:eastAsia="仿宋_GB2312" w:cs="仿宋"/>
                <w:b/>
                <w:bCs/>
                <w:color w:val="000000"/>
                <w:kern w:val="0"/>
                <w:sz w:val="28"/>
                <w:szCs w:val="28"/>
              </w:rPr>
              <w:t>类型</w:t>
            </w:r>
          </w:p>
        </w:tc>
        <w:tc>
          <w:tcPr>
            <w:tcW w:w="1209" w:type="dxa"/>
            <w:vAlign w:val="center"/>
          </w:tcPr>
          <w:p>
            <w:pPr>
              <w:adjustRightInd w:val="0"/>
              <w:snapToGrid w:val="0"/>
              <w:jc w:val="center"/>
              <w:rPr>
                <w:rFonts w:hint="eastAsia" w:ascii="仿宋_GB2312" w:hAnsi="仿宋" w:eastAsia="仿宋_GB2312" w:cs="仿宋"/>
                <w:b/>
                <w:bCs/>
                <w:color w:val="000000"/>
                <w:kern w:val="0"/>
                <w:sz w:val="28"/>
                <w:szCs w:val="28"/>
              </w:rPr>
            </w:pPr>
            <w:r>
              <w:rPr>
                <w:rFonts w:hint="eastAsia" w:ascii="仿宋_GB2312" w:hAnsi="仿宋" w:eastAsia="仿宋_GB2312" w:cs="仿宋"/>
                <w:b/>
                <w:bCs/>
                <w:color w:val="000000"/>
                <w:kern w:val="0"/>
                <w:sz w:val="28"/>
                <w:szCs w:val="28"/>
              </w:rPr>
              <w:t>指标数据值</w:t>
            </w:r>
          </w:p>
        </w:tc>
        <w:tc>
          <w:tcPr>
            <w:tcW w:w="5245" w:type="dxa"/>
            <w:vAlign w:val="center"/>
          </w:tcPr>
          <w:p>
            <w:pPr>
              <w:adjustRightInd w:val="0"/>
              <w:snapToGrid w:val="0"/>
              <w:jc w:val="center"/>
              <w:rPr>
                <w:rFonts w:hint="eastAsia" w:ascii="仿宋_GB2312" w:hAnsi="仿宋" w:eastAsia="仿宋_GB2312" w:cs="Times New Roman"/>
                <w:b/>
                <w:bCs/>
                <w:color w:val="000000"/>
                <w:kern w:val="0"/>
                <w:sz w:val="28"/>
                <w:szCs w:val="28"/>
              </w:rPr>
            </w:pPr>
            <w:r>
              <w:rPr>
                <w:rFonts w:hint="eastAsia" w:ascii="仿宋_GB2312" w:hAnsi="仿宋" w:eastAsia="仿宋_GB2312" w:cs="仿宋"/>
                <w:b/>
                <w:bCs/>
                <w:color w:val="000000"/>
                <w:kern w:val="0"/>
                <w:sz w:val="28"/>
                <w:szCs w:val="28"/>
              </w:rPr>
              <w:t>指标数据值计算公式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08" w:type="dxa"/>
            <w:vMerge w:val="restart"/>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能源利用绿色化</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指标</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（EG）</w:t>
            </w: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w:t>
            </w:r>
          </w:p>
        </w:tc>
        <w:tc>
          <w:tcPr>
            <w:tcW w:w="1936"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能源产出率</w:t>
            </w:r>
          </w:p>
        </w:tc>
        <w:tc>
          <w:tcPr>
            <w:tcW w:w="976" w:type="dxa"/>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万元/tce</w:t>
            </w:r>
          </w:p>
        </w:tc>
        <w:tc>
          <w:tcPr>
            <w:tcW w:w="902" w:type="dxa"/>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3</w:t>
            </w:r>
          </w:p>
        </w:tc>
        <w:tc>
          <w:tcPr>
            <w:tcW w:w="1045" w:type="dxa"/>
            <w:vAlign w:val="center"/>
          </w:tcPr>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=园区工业增加值（万元不变价）/能源综合消耗总量（tce）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可再生能源使用比例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15</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=工业企业可再生能源使用量（tce）/工业企业综合能耗总量（tce）×100%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清洁能源使用率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ascii="仿宋_GB2312" w:hAnsi="仿宋" w:eastAsia="仿宋_GB2312" w:cs="仿宋"/>
                <w:color w:val="000000"/>
                <w:sz w:val="28"/>
                <w:szCs w:val="28"/>
              </w:rPr>
              <w:t>60</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=清洁能源使用量（tce）/终端能源消费总量（tce）×100%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restart"/>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资源利用绿色化</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指标</w:t>
            </w:r>
          </w:p>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(RG)</w:t>
            </w: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4</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水资源产出率</w:t>
            </w:r>
          </w:p>
        </w:tc>
        <w:tc>
          <w:tcPr>
            <w:tcW w:w="976"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元/m</w:t>
            </w:r>
            <w:r>
              <w:rPr>
                <w:rFonts w:hint="eastAsia" w:ascii="仿宋_GB2312" w:hAnsi="仿宋" w:eastAsia="仿宋_GB2312" w:cs="仿宋"/>
                <w:color w:val="000000"/>
                <w:sz w:val="28"/>
                <w:szCs w:val="28"/>
                <w:vertAlign w:val="superscript"/>
              </w:rPr>
              <w:t>3</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1500</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 园区工业增加值（万元不变价）/园区工业用新鲜水量（m</w:t>
            </w:r>
            <w:r>
              <w:rPr>
                <w:rFonts w:hint="eastAsia" w:ascii="仿宋_GB2312" w:hAnsi="仿宋" w:eastAsia="仿宋_GB2312" w:cs="仿宋"/>
                <w:color w:val="000000"/>
                <w:kern w:val="0"/>
                <w:sz w:val="28"/>
                <w:szCs w:val="28"/>
                <w:vertAlign w:val="superscript"/>
              </w:rPr>
              <w:t>3</w:t>
            </w:r>
            <w:r>
              <w:rPr>
                <w:rFonts w:hint="eastAsia" w:ascii="仿宋_GB2312" w:hAnsi="仿宋" w:eastAsia="仿宋_GB2312" w:cs="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5</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土地资源产出率</w:t>
            </w:r>
          </w:p>
        </w:tc>
        <w:tc>
          <w:tcPr>
            <w:tcW w:w="976"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亿元/km</w:t>
            </w:r>
            <w:r>
              <w:rPr>
                <w:rFonts w:hint="eastAsia" w:ascii="仿宋_GB2312" w:hAnsi="仿宋" w:eastAsia="仿宋_GB2312" w:cs="仿宋"/>
                <w:color w:val="000000"/>
                <w:sz w:val="28"/>
                <w:szCs w:val="28"/>
                <w:vertAlign w:val="superscript"/>
              </w:rPr>
              <w:t>2</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15</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=园区工业增加值（万元不变价）/园区工业用地面积（km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6</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工业固体废弃物综合利用率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95</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=工业固体废弃物综合利用量（t）/（工业固体废弃物产生量+综合利用往年贮存量(t)）×100%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7</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工业用水重复利用率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90</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=工业重复用水量（m</w:t>
            </w:r>
            <w:r>
              <w:rPr>
                <w:rFonts w:hint="eastAsia" w:ascii="仿宋_GB2312" w:hAnsi="仿宋" w:eastAsia="仿宋_GB2312" w:cs="仿宋"/>
                <w:color w:val="000000"/>
                <w:kern w:val="0"/>
                <w:sz w:val="28"/>
                <w:szCs w:val="28"/>
                <w:vertAlign w:val="superscript"/>
              </w:rPr>
              <w:t>3</w:t>
            </w:r>
            <w:r>
              <w:rPr>
                <w:rFonts w:hint="eastAsia" w:ascii="仿宋_GB2312" w:hAnsi="仿宋" w:eastAsia="仿宋_GB2312" w:cs="仿宋"/>
                <w:color w:val="000000"/>
                <w:kern w:val="0"/>
                <w:sz w:val="28"/>
                <w:szCs w:val="28"/>
              </w:rPr>
              <w:t>）/工业用水总量（m</w:t>
            </w:r>
            <w:r>
              <w:rPr>
                <w:rFonts w:hint="eastAsia" w:ascii="仿宋_GB2312" w:hAnsi="仿宋" w:eastAsia="仿宋_GB2312" w:cs="仿宋"/>
                <w:color w:val="000000"/>
                <w:kern w:val="0"/>
                <w:sz w:val="28"/>
                <w:szCs w:val="28"/>
                <w:vertAlign w:val="superscript"/>
              </w:rPr>
              <w:t>3</w:t>
            </w:r>
            <w:r>
              <w:rPr>
                <w:rFonts w:hint="eastAsia" w:ascii="仿宋_GB2312" w:hAnsi="仿宋" w:eastAsia="仿宋_GB2312" w:cs="仿宋"/>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8</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中水回用率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045" w:type="dxa"/>
            <w:vMerge w:val="restart"/>
            <w:vAlign w:val="center"/>
          </w:tcPr>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4选2</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园区再生水（中水）回用量（万吨）/园区污水处理厂处理量（万吨）×100%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9</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余热资源回收利用率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60</w:t>
            </w:r>
          </w:p>
        </w:tc>
        <w:tc>
          <w:tcPr>
            <w:tcW w:w="1045"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1209" w:type="dxa"/>
            <w:vAlign w:val="top"/>
          </w:tcPr>
          <w:p>
            <w:pPr>
              <w:adjustRightInd w:val="0"/>
              <w:snapToGrid w:val="0"/>
              <w:rPr>
                <w:rFonts w:hint="eastAsia" w:ascii="仿宋_GB2312" w:hAnsi="仿宋" w:eastAsia="仿宋_GB2312" w:cs="仿宋"/>
                <w:color w:val="000000"/>
                <w:sz w:val="28"/>
                <w:szCs w:val="28"/>
              </w:rPr>
            </w:pPr>
          </w:p>
        </w:tc>
        <w:tc>
          <w:tcPr>
            <w:tcW w:w="5245" w:type="dxa"/>
            <w:vAlign w:val="center"/>
          </w:tcPr>
          <w:p>
            <w:pPr>
              <w:adjustRightInd w:val="0"/>
              <w:snapToGrid w:val="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=回收利用的余热资源量（kJ）/园区总余热资源量（kJ）×100%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02" w:hRule="atLeast"/>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10</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废气资源回收利用率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90</w:t>
            </w:r>
          </w:p>
        </w:tc>
        <w:tc>
          <w:tcPr>
            <w:tcW w:w="1045"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1209" w:type="dxa"/>
            <w:vAlign w:val="top"/>
          </w:tcPr>
          <w:p>
            <w:pPr>
              <w:adjustRightInd w:val="0"/>
              <w:snapToGrid w:val="0"/>
              <w:rPr>
                <w:rFonts w:hint="eastAsia" w:ascii="仿宋_GB2312" w:hAnsi="仿宋" w:eastAsia="仿宋_GB2312" w:cs="仿宋"/>
                <w:color w:val="000000"/>
                <w:sz w:val="28"/>
                <w:szCs w:val="28"/>
              </w:rPr>
            </w:pPr>
          </w:p>
        </w:tc>
        <w:tc>
          <w:tcPr>
            <w:tcW w:w="5245" w:type="dxa"/>
            <w:vAlign w:val="center"/>
          </w:tcPr>
          <w:p>
            <w:pPr>
              <w:adjustRightInd w:val="0"/>
              <w:snapToGrid w:val="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=回收利用的废气资源量（万m</w:t>
            </w:r>
            <w:r>
              <w:rPr>
                <w:rFonts w:hint="eastAsia" w:ascii="仿宋_GB2312" w:hAnsi="仿宋" w:eastAsia="仿宋_GB2312" w:cs="仿宋"/>
                <w:color w:val="000000"/>
                <w:sz w:val="28"/>
                <w:szCs w:val="28"/>
                <w:vertAlign w:val="superscript"/>
              </w:rPr>
              <w:t>3</w:t>
            </w:r>
            <w:r>
              <w:rPr>
                <w:rFonts w:hint="eastAsia" w:ascii="仿宋_GB2312" w:hAnsi="仿宋" w:eastAsia="仿宋_GB2312" w:cs="仿宋"/>
                <w:color w:val="000000"/>
                <w:sz w:val="28"/>
                <w:szCs w:val="28"/>
              </w:rPr>
              <w:t>）/园区可回收利用总废气资源量（万m</w:t>
            </w:r>
            <w:r>
              <w:rPr>
                <w:rFonts w:hint="eastAsia" w:ascii="仿宋_GB2312" w:hAnsi="仿宋" w:eastAsia="仿宋_GB2312" w:cs="仿宋"/>
                <w:color w:val="000000"/>
                <w:sz w:val="28"/>
                <w:szCs w:val="28"/>
                <w:vertAlign w:val="superscript"/>
              </w:rPr>
              <w:t>3</w:t>
            </w:r>
            <w:r>
              <w:rPr>
                <w:rFonts w:hint="eastAsia" w:ascii="仿宋_GB2312" w:hAnsi="仿宋" w:eastAsia="仿宋_GB2312" w:cs="仿宋"/>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11</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再生资源回收利用率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80</w:t>
            </w:r>
          </w:p>
        </w:tc>
        <w:tc>
          <w:tcPr>
            <w:tcW w:w="1045"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1209" w:type="dxa"/>
            <w:vAlign w:val="top"/>
          </w:tcPr>
          <w:p>
            <w:pPr>
              <w:adjustRightInd w:val="0"/>
              <w:snapToGrid w:val="0"/>
              <w:rPr>
                <w:rFonts w:hint="eastAsia" w:ascii="仿宋_GB2312" w:hAnsi="仿宋" w:eastAsia="仿宋_GB2312" w:cs="仿宋"/>
                <w:color w:val="000000"/>
                <w:sz w:val="28"/>
                <w:szCs w:val="28"/>
              </w:rPr>
            </w:pPr>
          </w:p>
        </w:tc>
        <w:tc>
          <w:tcPr>
            <w:tcW w:w="5245" w:type="dxa"/>
            <w:vAlign w:val="center"/>
          </w:tcPr>
          <w:p>
            <w:pPr>
              <w:adjustRightInd w:val="0"/>
              <w:snapToGrid w:val="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=再生资源循环利用量（万吨）/再生资源收集量（万吨）×100%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restart"/>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基础设施绿色化</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指标</w:t>
            </w:r>
          </w:p>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(IG)</w:t>
            </w: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12</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污水集中处理设施</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具备</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Times New Roman"/>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13</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新建工业建筑中绿色建筑的比例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045" w:type="dxa"/>
            <w:vMerge w:val="restart"/>
            <w:vAlign w:val="center"/>
          </w:tcPr>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2选1</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=新建工业建筑中绿色建筑的面积（m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）/园区新建工业建筑面积（m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14</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新建公共建筑中绿色建筑的比例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60</w:t>
            </w:r>
          </w:p>
        </w:tc>
        <w:tc>
          <w:tcPr>
            <w:tcW w:w="1045" w:type="dxa"/>
            <w:vMerge w:val="continue"/>
            <w:vAlign w:val="center"/>
          </w:tcPr>
          <w:p>
            <w:pPr>
              <w:adjustRightInd w:val="0"/>
              <w:snapToGrid w:val="0"/>
              <w:jc w:val="center"/>
              <w:rPr>
                <w:rFonts w:hint="eastAsia" w:ascii="仿宋_GB2312" w:hAnsi="仿宋" w:eastAsia="仿宋_GB2312" w:cs="Times New Roman"/>
                <w:color w:val="000000"/>
                <w:kern w:val="0"/>
                <w:sz w:val="28"/>
                <w:szCs w:val="28"/>
              </w:rPr>
            </w:pP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=新建公共建筑中绿色建筑的面积（m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）/园区新建公共建筑面积（m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15</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500 米公交站点覆盖率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90</w:t>
            </w:r>
          </w:p>
        </w:tc>
        <w:tc>
          <w:tcPr>
            <w:tcW w:w="1045" w:type="dxa"/>
            <w:vMerge w:val="restart"/>
            <w:vAlign w:val="center"/>
          </w:tcPr>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2选1</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根据GB 50220计算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16</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节能与新能源公交车比例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045"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1209" w:type="dxa"/>
            <w:vAlign w:val="top"/>
          </w:tcPr>
          <w:p>
            <w:pPr>
              <w:adjustRightInd w:val="0"/>
              <w:snapToGrid w:val="0"/>
              <w:rPr>
                <w:rFonts w:hint="eastAsia" w:ascii="仿宋_GB2312" w:hAnsi="仿宋" w:eastAsia="仿宋_GB2312" w:cs="仿宋"/>
                <w:color w:val="000000"/>
                <w:sz w:val="28"/>
                <w:szCs w:val="28"/>
              </w:rPr>
            </w:pPr>
          </w:p>
        </w:tc>
        <w:tc>
          <w:tcPr>
            <w:tcW w:w="5245" w:type="dxa"/>
            <w:vAlign w:val="center"/>
          </w:tcPr>
          <w:p>
            <w:pPr>
              <w:adjustRightInd w:val="0"/>
              <w:snapToGrid w:val="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=节能与新能源公交车数量（辆）/园区公交车总量（辆）×100%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restart"/>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产业</w:t>
            </w:r>
          </w:p>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绿色化</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指标</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（CG）</w:t>
            </w: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17</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高技术产业产值占园区工业总产值比例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=高技术企业的工业产值之和（万元）/工业园区工业总产值（万元）×100%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18</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绿色产业增加值占园区工业增加值比例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=绿色产业增加值（万元）/园区工业增加值（万元）×100%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19</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人均工业增加值</w:t>
            </w:r>
          </w:p>
        </w:tc>
        <w:tc>
          <w:tcPr>
            <w:tcW w:w="976"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万元/人</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15</w:t>
            </w:r>
          </w:p>
        </w:tc>
        <w:tc>
          <w:tcPr>
            <w:tcW w:w="1045" w:type="dxa"/>
            <w:vMerge w:val="restart"/>
            <w:vAlign w:val="center"/>
          </w:tcPr>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2选1</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=园区工业增加值（万元）/园区年末工业企业从业人数（人）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20</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现代服务业比例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045"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1209" w:type="dxa"/>
            <w:vAlign w:val="top"/>
          </w:tcPr>
          <w:p>
            <w:pPr>
              <w:adjustRightInd w:val="0"/>
              <w:snapToGrid w:val="0"/>
              <w:rPr>
                <w:rFonts w:hint="eastAsia" w:ascii="仿宋_GB2312" w:hAnsi="仿宋" w:eastAsia="仿宋_GB2312" w:cs="仿宋"/>
                <w:color w:val="000000"/>
                <w:sz w:val="28"/>
                <w:szCs w:val="28"/>
              </w:rPr>
            </w:pPr>
          </w:p>
        </w:tc>
        <w:tc>
          <w:tcPr>
            <w:tcW w:w="5245" w:type="dxa"/>
            <w:vAlign w:val="center"/>
          </w:tcPr>
          <w:p>
            <w:pPr>
              <w:adjustRightInd w:val="0"/>
              <w:snapToGrid w:val="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=现代服务业增加值（万元）/园区GDP×100%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restart"/>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生态环境绿色化</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指标</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（HG）</w:t>
            </w: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21</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工业固体废弃物（含危废）处置利用率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100</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=园区当年工业固体废物处置利用量（含危险废物）（t）/园区当年工业固体废物总产生量（t）×100%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22</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万元工业增加值碳排放量消减率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=[1-（验收年单位工业增加值二氧化碳排放量(tCO</w:t>
            </w:r>
            <w:r>
              <w:rPr>
                <w:rFonts w:hint="eastAsia" w:ascii="仿宋_GB2312" w:hAnsi="仿宋" w:eastAsia="仿宋_GB2312" w:cs="仿宋"/>
                <w:color w:val="000000"/>
                <w:kern w:val="0"/>
                <w:sz w:val="28"/>
                <w:szCs w:val="28"/>
                <w:vertAlign w:val="subscript"/>
              </w:rPr>
              <w:t>2</w:t>
            </w:r>
            <w:r>
              <w:rPr>
                <w:rFonts w:hint="eastAsia" w:ascii="仿宋_GB2312" w:hAnsi="仿宋" w:eastAsia="仿宋_GB2312" w:cs="仿宋"/>
                <w:color w:val="000000"/>
                <w:kern w:val="0"/>
                <w:sz w:val="28"/>
                <w:szCs w:val="28"/>
              </w:rPr>
              <w:t>eq./万元)/ 创建基准年单位工业增加值二氧化碳排放量(tCO</w:t>
            </w:r>
            <w:r>
              <w:rPr>
                <w:rFonts w:hint="eastAsia" w:ascii="仿宋_GB2312" w:hAnsi="仿宋" w:eastAsia="仿宋_GB2312" w:cs="仿宋"/>
                <w:color w:val="000000"/>
                <w:kern w:val="0"/>
                <w:sz w:val="28"/>
                <w:szCs w:val="28"/>
                <w:vertAlign w:val="subscript"/>
              </w:rPr>
              <w:t>2</w:t>
            </w:r>
            <w:r>
              <w:rPr>
                <w:rFonts w:hint="eastAsia" w:ascii="仿宋_GB2312" w:hAnsi="仿宋" w:eastAsia="仿宋_GB2312" w:cs="仿宋"/>
                <w:color w:val="000000"/>
                <w:kern w:val="0"/>
                <w:sz w:val="28"/>
                <w:szCs w:val="28"/>
              </w:rPr>
              <w:t>eq./万元)）1/创建周期]×100%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23</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单位工业增加值废水排放量</w:t>
            </w:r>
          </w:p>
        </w:tc>
        <w:tc>
          <w:tcPr>
            <w:tcW w:w="976"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t/万元</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5</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=园区工业废水排放总量（t）/园区工业增加值总量（万元）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24</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主要污染物弹性系数</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0.3</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某种污染物排放弹性系数=某种污染物排放量创建周期年均增长率（%）/园区工业增加值创建周期年均增长率（%）；</w:t>
            </w:r>
          </w:p>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主要污染物排放弹性系数=主要污染物排放弹性系数之和/污染物个数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25</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园区空气质量优良率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80</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=空气质量优良天数/全年天数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26</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绿化覆盖率</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045" w:type="dxa"/>
            <w:vMerge w:val="restart"/>
            <w:vAlign w:val="center"/>
          </w:tcPr>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3选1</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=园区内各类绿地总面积（m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）/园区用地总面积（m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27</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道路遮荫比例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80</w:t>
            </w:r>
          </w:p>
        </w:tc>
        <w:tc>
          <w:tcPr>
            <w:tcW w:w="1045"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=道路两旁树冠垂直投影遮蔽的总阴影面积（m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）/步行道路总面积（m</w:t>
            </w:r>
            <w:r>
              <w:rPr>
                <w:rFonts w:hint="eastAsia" w:ascii="仿宋_GB2312" w:hAnsi="仿宋" w:eastAsia="仿宋_GB2312" w:cs="仿宋"/>
                <w:color w:val="000000"/>
                <w:kern w:val="0"/>
                <w:sz w:val="28"/>
                <w:szCs w:val="28"/>
                <w:vertAlign w:val="superscript"/>
              </w:rPr>
              <w:t>2</w:t>
            </w:r>
            <w:r>
              <w:rPr>
                <w:rFonts w:hint="eastAsia" w:ascii="仿宋_GB2312" w:hAnsi="仿宋" w:eastAsia="仿宋_GB2312" w:cs="仿宋"/>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28</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露天停车场遮荫比例</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80</w:t>
            </w:r>
          </w:p>
        </w:tc>
        <w:tc>
          <w:tcPr>
            <w:tcW w:w="1045"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1209" w:type="dxa"/>
            <w:vAlign w:val="top"/>
          </w:tcPr>
          <w:p>
            <w:pPr>
              <w:adjustRightInd w:val="0"/>
              <w:snapToGrid w:val="0"/>
              <w:rPr>
                <w:rFonts w:hint="eastAsia" w:ascii="仿宋_GB2312" w:hAnsi="仿宋" w:eastAsia="仿宋_GB2312" w:cs="仿宋"/>
                <w:color w:val="000000"/>
                <w:sz w:val="28"/>
                <w:szCs w:val="28"/>
              </w:rPr>
            </w:pPr>
          </w:p>
        </w:tc>
        <w:tc>
          <w:tcPr>
            <w:tcW w:w="5245" w:type="dxa"/>
            <w:vAlign w:val="center"/>
          </w:tcPr>
          <w:p>
            <w:pPr>
              <w:adjustRightInd w:val="0"/>
              <w:snapToGrid w:val="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=露天停车场树冠垂直投影遮蔽的总阴影面积（m</w:t>
            </w:r>
            <w:r>
              <w:rPr>
                <w:rFonts w:hint="eastAsia" w:ascii="仿宋_GB2312" w:hAnsi="仿宋" w:eastAsia="仿宋_GB2312" w:cs="仿宋"/>
                <w:color w:val="000000"/>
                <w:sz w:val="28"/>
                <w:szCs w:val="28"/>
                <w:vertAlign w:val="superscript"/>
              </w:rPr>
              <w:t>2</w:t>
            </w:r>
            <w:r>
              <w:rPr>
                <w:rFonts w:hint="eastAsia" w:ascii="仿宋_GB2312" w:hAnsi="仿宋" w:eastAsia="仿宋_GB2312" w:cs="仿宋"/>
                <w:color w:val="000000"/>
                <w:sz w:val="28"/>
                <w:szCs w:val="28"/>
              </w:rPr>
              <w:t>）/露天停车场总面积（m</w:t>
            </w:r>
            <w:r>
              <w:rPr>
                <w:rFonts w:hint="eastAsia" w:ascii="仿宋_GB2312" w:hAnsi="仿宋" w:eastAsia="仿宋_GB2312" w:cs="仿宋"/>
                <w:color w:val="000000"/>
                <w:sz w:val="28"/>
                <w:szCs w:val="28"/>
                <w:vertAlign w:val="superscript"/>
              </w:rPr>
              <w:t>2</w:t>
            </w:r>
            <w:r>
              <w:rPr>
                <w:rFonts w:hint="eastAsia" w:ascii="仿宋_GB2312" w:hAnsi="仿宋" w:eastAsia="仿宋_GB2312" w:cs="仿宋"/>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restart"/>
            <w:vAlign w:val="center"/>
          </w:tcPr>
          <w:p>
            <w:pPr>
              <w:adjustRightInd w:val="0"/>
              <w:snapToGrid w:val="0"/>
              <w:jc w:val="center"/>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运行管理绿色化</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指标</w:t>
            </w:r>
          </w:p>
          <w:p>
            <w:pPr>
              <w:adjustRightInd w:val="0"/>
              <w:snapToGrid w:val="0"/>
              <w:jc w:val="center"/>
              <w:rPr>
                <w:rFonts w:hint="eastAsia" w:ascii="仿宋_GB2312" w:hAnsi="仿宋" w:eastAsia="仿宋_GB2312" w:cs="Times New Roman"/>
                <w:color w:val="000000"/>
                <w:kern w:val="0"/>
                <w:sz w:val="28"/>
                <w:szCs w:val="28"/>
              </w:rPr>
            </w:pPr>
            <w:r>
              <w:rPr>
                <w:rFonts w:hint="eastAsia" w:ascii="仿宋_GB2312" w:hAnsi="仿宋" w:eastAsia="仿宋_GB2312" w:cs="仿宋"/>
                <w:color w:val="000000"/>
                <w:kern w:val="0"/>
                <w:sz w:val="28"/>
                <w:szCs w:val="28"/>
              </w:rPr>
              <w:t>（MG）</w:t>
            </w: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29</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绿色园区标准体系完善程度</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完善</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30</w:t>
            </w:r>
          </w:p>
        </w:tc>
        <w:tc>
          <w:tcPr>
            <w:tcW w:w="1936" w:type="dxa"/>
            <w:vAlign w:val="center"/>
          </w:tcPr>
          <w:p>
            <w:pPr>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编制绿色园区发展规划</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是</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508" w:type="dxa"/>
            <w:vMerge w:val="continue"/>
            <w:vAlign w:val="center"/>
          </w:tcPr>
          <w:p>
            <w:pPr>
              <w:adjustRightInd w:val="0"/>
              <w:snapToGrid w:val="0"/>
              <w:jc w:val="center"/>
              <w:rPr>
                <w:rFonts w:hint="eastAsia" w:ascii="仿宋_GB2312" w:hAnsi="仿宋" w:eastAsia="仿宋_GB2312" w:cs="Times New Roman"/>
                <w:color w:val="000000"/>
                <w:sz w:val="28"/>
                <w:szCs w:val="28"/>
              </w:rPr>
            </w:pPr>
          </w:p>
        </w:tc>
        <w:tc>
          <w:tcPr>
            <w:tcW w:w="888"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31</w:t>
            </w:r>
          </w:p>
        </w:tc>
        <w:tc>
          <w:tcPr>
            <w:tcW w:w="1936" w:type="dxa"/>
            <w:vAlign w:val="center"/>
          </w:tcPr>
          <w:p>
            <w:pPr>
              <w:autoSpaceDE w:val="0"/>
              <w:autoSpaceDN w:val="0"/>
              <w:adjustRightInd w:val="0"/>
              <w:snapToGrid w:val="0"/>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绿色园区信息平台完善程度</w:t>
            </w:r>
          </w:p>
        </w:tc>
        <w:tc>
          <w:tcPr>
            <w:tcW w:w="976" w:type="dxa"/>
            <w:vAlign w:val="center"/>
          </w:tcPr>
          <w:p>
            <w:pPr>
              <w:adjustRightInd w:val="0"/>
              <w:snapToGrid w:val="0"/>
              <w:jc w:val="center"/>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w:t>
            </w:r>
          </w:p>
        </w:tc>
        <w:tc>
          <w:tcPr>
            <w:tcW w:w="902"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sz w:val="28"/>
                <w:szCs w:val="28"/>
              </w:rPr>
              <w:t>完善</w:t>
            </w:r>
          </w:p>
        </w:tc>
        <w:tc>
          <w:tcPr>
            <w:tcW w:w="1045" w:type="dxa"/>
            <w:vAlign w:val="center"/>
          </w:tcPr>
          <w:p>
            <w:pPr>
              <w:adjustRightInd w:val="0"/>
              <w:snapToGrid w:val="0"/>
              <w:jc w:val="center"/>
              <w:rPr>
                <w:rFonts w:hint="eastAsia" w:ascii="仿宋_GB2312" w:hAnsi="仿宋" w:eastAsia="仿宋_GB2312" w:cs="Times New Roman"/>
                <w:color w:val="000000"/>
                <w:sz w:val="28"/>
                <w:szCs w:val="28"/>
              </w:rPr>
            </w:pPr>
            <w:r>
              <w:rPr>
                <w:rFonts w:hint="eastAsia" w:ascii="仿宋_GB2312" w:hAnsi="仿宋" w:eastAsia="仿宋_GB2312" w:cs="仿宋"/>
                <w:color w:val="000000"/>
                <w:kern w:val="0"/>
                <w:sz w:val="28"/>
                <w:szCs w:val="28"/>
              </w:rPr>
              <w:t>必选</w:t>
            </w:r>
          </w:p>
        </w:tc>
        <w:tc>
          <w:tcPr>
            <w:tcW w:w="1209" w:type="dxa"/>
            <w:vAlign w:val="top"/>
          </w:tcPr>
          <w:p>
            <w:pPr>
              <w:adjustRightInd w:val="0"/>
              <w:snapToGrid w:val="0"/>
              <w:rPr>
                <w:rFonts w:hint="eastAsia" w:ascii="仿宋_GB2312" w:hAnsi="仿宋" w:eastAsia="仿宋_GB2312" w:cs="仿宋"/>
                <w:color w:val="000000"/>
                <w:kern w:val="0"/>
                <w:sz w:val="28"/>
                <w:szCs w:val="28"/>
              </w:rPr>
            </w:pPr>
          </w:p>
        </w:tc>
        <w:tc>
          <w:tcPr>
            <w:tcW w:w="5245" w:type="dxa"/>
            <w:vAlign w:val="center"/>
          </w:tcPr>
          <w:p>
            <w:pPr>
              <w:adjustRightInd w:val="0"/>
              <w:snapToGrid w:val="0"/>
              <w:rPr>
                <w:rFonts w:hint="eastAsia" w:ascii="仿宋_GB2312" w:hAnsi="仿宋" w:eastAsia="仿宋_GB2312" w:cs="仿宋"/>
                <w:color w:val="000000"/>
                <w:kern w:val="0"/>
                <w:sz w:val="28"/>
                <w:szCs w:val="28"/>
              </w:rPr>
            </w:pPr>
            <w:r>
              <w:rPr>
                <w:rFonts w:hint="eastAsia" w:ascii="仿宋_GB2312" w:hAnsi="仿宋" w:eastAsia="仿宋_GB2312" w:cs="仿宋"/>
                <w:color w:val="000000"/>
                <w:kern w:val="0"/>
                <w:sz w:val="28"/>
                <w:szCs w:val="28"/>
              </w:rPr>
              <w:t>/</w:t>
            </w:r>
          </w:p>
        </w:tc>
      </w:tr>
    </w:tbl>
    <w:p>
      <w:pPr>
        <w:spacing w:line="360" w:lineRule="auto"/>
        <w:rPr>
          <w:rFonts w:cs="Times New Roman"/>
          <w:color w:val="000000"/>
        </w:rPr>
      </w:pPr>
    </w:p>
    <w:p>
      <w:pPr>
        <w:spacing w:line="360" w:lineRule="auto"/>
        <w:rPr>
          <w:rFonts w:cs="Times New Roman"/>
          <w:color w:val="000000"/>
        </w:rPr>
        <w:sectPr>
          <w:pgSz w:w="16838" w:h="11906" w:orient="landscape"/>
          <w:pgMar w:top="1134" w:right="1701" w:bottom="1418" w:left="1418" w:header="851" w:footer="992" w:gutter="0"/>
          <w:pgNumType w:fmt="numberInDash"/>
          <w:cols w:space="720" w:num="1"/>
          <w:docGrid w:type="lines" w:linePitch="312" w:charSpace="0"/>
        </w:sectPr>
      </w:pPr>
    </w:p>
    <w:p>
      <w:pPr>
        <w:adjustRightInd w:val="0"/>
        <w:snapToGrid w:val="0"/>
        <w:spacing w:line="360" w:lineRule="auto"/>
        <w:ind w:firstLine="640" w:firstLineChars="200"/>
        <w:rPr>
          <w:rFonts w:cs="Times New Roman"/>
          <w:color w:val="000000"/>
          <w:sz w:val="32"/>
          <w:szCs w:val="32"/>
        </w:rPr>
      </w:pPr>
      <w:r>
        <w:rPr>
          <w:rFonts w:hint="eastAsia" w:ascii="仿宋_GB2312" w:eastAsia="仿宋_GB2312" w:cs="仿宋_GB2312"/>
          <w:color w:val="000000"/>
          <w:kern w:val="0"/>
          <w:sz w:val="32"/>
          <w:szCs w:val="32"/>
        </w:rPr>
        <w:t>工业园区绿色指数即为园区评价的最终得分，工业园区绿色指数的计算方法如下所示。</w:t>
      </w:r>
    </w:p>
    <w:p>
      <w:pPr>
        <w:adjustRightInd w:val="0"/>
        <w:snapToGrid w:val="0"/>
        <w:spacing w:line="360" w:lineRule="auto"/>
        <w:ind w:left="-40" w:leftChars="-405" w:hanging="810" w:hangingChars="450"/>
        <w:rPr>
          <w:rFonts w:cs="Times New Roman"/>
          <w:color w:val="000000"/>
          <w:sz w:val="18"/>
          <w:szCs w:val="18"/>
        </w:rPr>
      </w:pPr>
      <w:r>
        <w:rPr>
          <w:rFonts w:ascii="Calibri" w:hAnsi="Calibri" w:eastAsia="宋体" w:cs="Times New Roman"/>
          <w:color w:val="000000"/>
          <w:kern w:val="2"/>
          <w:sz w:val="18"/>
          <w:szCs w:val="18"/>
          <w:lang w:val="en-US" w:eastAsia="zh-CN" w:bidi="ar-SA"/>
        </w:rPr>
        <w:pict>
          <v:shape id="图片 2" o:spid="_x0000_s1027" type="#_x0000_t75" style="height:52.15pt;width:50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autoSpaceDE w:val="0"/>
        <w:autoSpaceDN w:val="0"/>
        <w:adjustRightInd w:val="0"/>
        <w:snapToGrid w:val="0"/>
        <w:spacing w:line="360" w:lineRule="auto"/>
        <w:ind w:firstLine="566" w:firstLineChars="177"/>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式中：</w:t>
      </w:r>
    </w:p>
    <w:p>
      <w:pPr>
        <w:autoSpaceDE w:val="0"/>
        <w:autoSpaceDN w:val="0"/>
        <w:adjustRightInd w:val="0"/>
        <w:snapToGrid w:val="0"/>
        <w:spacing w:line="360" w:lineRule="auto"/>
        <w:ind w:firstLine="640" w:firstLineChars="200"/>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GI</w:t>
      </w:r>
      <w:r>
        <w:rPr>
          <w:rFonts w:hint="eastAsia" w:ascii="仿宋_GB2312" w:eastAsia="仿宋_GB2312" w:cs="仿宋_GB2312"/>
          <w:color w:val="000000"/>
          <w:kern w:val="0"/>
          <w:sz w:val="32"/>
          <w:szCs w:val="32"/>
        </w:rPr>
        <w:t>为工业园区绿色指数；</w:t>
      </w:r>
    </w:p>
    <w:p>
      <w:pPr>
        <w:autoSpaceDE w:val="0"/>
        <w:autoSpaceDN w:val="0"/>
        <w:adjustRightInd w:val="0"/>
        <w:snapToGrid w:val="0"/>
        <w:spacing w:line="360" w:lineRule="auto"/>
        <w:ind w:firstLine="566" w:firstLineChars="177"/>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EG</w:t>
      </w:r>
      <w:r>
        <w:rPr>
          <w:rFonts w:ascii="仿宋_GB2312" w:eastAsia="仿宋_GB2312" w:cs="仿宋_GB2312"/>
          <w:color w:val="000000"/>
          <w:kern w:val="0"/>
          <w:sz w:val="32"/>
          <w:szCs w:val="32"/>
          <w:vertAlign w:val="subscript"/>
        </w:rPr>
        <w:t>i</w:t>
      </w:r>
      <w:r>
        <w:rPr>
          <w:rFonts w:hint="eastAsia" w:ascii="仿宋_GB2312" w:eastAsia="仿宋_GB2312" w:cs="仿宋_GB2312"/>
          <w:color w:val="000000"/>
          <w:kern w:val="0"/>
          <w:sz w:val="32"/>
          <w:szCs w:val="32"/>
        </w:rPr>
        <w:t>为第</w:t>
      </w:r>
      <w:r>
        <w:rPr>
          <w:rFonts w:ascii="仿宋_GB2312" w:eastAsia="仿宋_GB2312" w:cs="仿宋_GB2312"/>
          <w:color w:val="000000"/>
          <w:kern w:val="0"/>
          <w:sz w:val="32"/>
          <w:szCs w:val="32"/>
        </w:rPr>
        <w:t>i</w:t>
      </w:r>
      <w:r>
        <w:rPr>
          <w:rFonts w:hint="eastAsia" w:ascii="仿宋_GB2312" w:eastAsia="仿宋_GB2312" w:cs="仿宋_GB2312"/>
          <w:color w:val="000000"/>
          <w:kern w:val="0"/>
          <w:sz w:val="32"/>
          <w:szCs w:val="32"/>
        </w:rPr>
        <w:t>项能源利用绿色化指标值；</w:t>
      </w:r>
      <w:r>
        <w:rPr>
          <w:rFonts w:ascii="仿宋_GB2312" w:eastAsia="仿宋_GB2312" w:cs="仿宋_GB2312"/>
          <w:color w:val="000000"/>
          <w:kern w:val="0"/>
          <w:sz w:val="32"/>
          <w:szCs w:val="32"/>
        </w:rPr>
        <w:t>EG</w:t>
      </w:r>
      <w:r>
        <w:rPr>
          <w:rFonts w:ascii="仿宋_GB2312" w:eastAsia="仿宋_GB2312" w:cs="仿宋_GB2312"/>
          <w:color w:val="000000"/>
          <w:kern w:val="0"/>
          <w:sz w:val="32"/>
          <w:szCs w:val="32"/>
          <w:vertAlign w:val="subscript"/>
        </w:rPr>
        <w:t>bi</w:t>
      </w:r>
      <w:r>
        <w:rPr>
          <w:rFonts w:hint="eastAsia" w:ascii="仿宋_GB2312" w:eastAsia="仿宋_GB2312" w:cs="仿宋_GB2312"/>
          <w:color w:val="000000"/>
          <w:kern w:val="0"/>
          <w:sz w:val="32"/>
          <w:szCs w:val="32"/>
        </w:rPr>
        <w:t>为第</w:t>
      </w:r>
      <w:r>
        <w:rPr>
          <w:rFonts w:ascii="仿宋_GB2312" w:eastAsia="仿宋_GB2312" w:cs="仿宋_GB2312"/>
          <w:color w:val="000000"/>
          <w:kern w:val="0"/>
          <w:sz w:val="32"/>
          <w:szCs w:val="32"/>
        </w:rPr>
        <w:t>i</w:t>
      </w:r>
      <w:r>
        <w:rPr>
          <w:rFonts w:hint="eastAsia" w:ascii="仿宋_GB2312" w:eastAsia="仿宋_GB2312" w:cs="仿宋_GB2312"/>
          <w:color w:val="000000"/>
          <w:kern w:val="0"/>
          <w:sz w:val="32"/>
          <w:szCs w:val="32"/>
        </w:rPr>
        <w:t>项能源利用绿色化指标引领值；</w:t>
      </w:r>
    </w:p>
    <w:p>
      <w:pPr>
        <w:autoSpaceDE w:val="0"/>
        <w:autoSpaceDN w:val="0"/>
        <w:adjustRightInd w:val="0"/>
        <w:snapToGrid w:val="0"/>
        <w:spacing w:line="360" w:lineRule="auto"/>
        <w:ind w:firstLine="566" w:firstLineChars="177"/>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RG</w:t>
      </w:r>
      <w:r>
        <w:rPr>
          <w:rFonts w:hint="eastAsia" w:ascii="仿宋_GB2312" w:eastAsia="仿宋_GB2312" w:cs="仿宋_GB2312"/>
          <w:color w:val="000000"/>
          <w:kern w:val="0"/>
          <w:sz w:val="32"/>
          <w:szCs w:val="32"/>
          <w:vertAlign w:val="subscript"/>
          <w:lang w:val="en-US" w:eastAsia="zh-CN"/>
        </w:rPr>
        <w:t>j</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j</w:t>
      </w:r>
      <w:r>
        <w:rPr>
          <w:rFonts w:hint="eastAsia" w:ascii="仿宋_GB2312" w:eastAsia="仿宋_GB2312" w:cs="仿宋_GB2312"/>
          <w:color w:val="000000"/>
          <w:kern w:val="0"/>
          <w:sz w:val="32"/>
          <w:szCs w:val="32"/>
        </w:rPr>
        <w:t>项资源利用绿色化指标值，</w:t>
      </w:r>
      <w:r>
        <w:rPr>
          <w:rFonts w:ascii="仿宋_GB2312" w:eastAsia="仿宋_GB2312" w:cs="仿宋_GB2312"/>
          <w:color w:val="000000"/>
          <w:kern w:val="0"/>
          <w:sz w:val="32"/>
          <w:szCs w:val="32"/>
        </w:rPr>
        <w:t>RG</w:t>
      </w:r>
      <w:r>
        <w:rPr>
          <w:rFonts w:ascii="仿宋_GB2312" w:eastAsia="仿宋_GB2312" w:cs="仿宋_GB2312"/>
          <w:color w:val="000000"/>
          <w:kern w:val="0"/>
          <w:sz w:val="32"/>
          <w:szCs w:val="32"/>
          <w:vertAlign w:val="subscript"/>
        </w:rPr>
        <w:t>b</w:t>
      </w:r>
      <w:r>
        <w:rPr>
          <w:rFonts w:hint="eastAsia" w:ascii="仿宋_GB2312" w:eastAsia="仿宋_GB2312" w:cs="仿宋_GB2312"/>
          <w:color w:val="000000"/>
          <w:kern w:val="0"/>
          <w:sz w:val="32"/>
          <w:szCs w:val="32"/>
          <w:vertAlign w:val="subscript"/>
          <w:lang w:val="en-US" w:eastAsia="zh-CN"/>
        </w:rPr>
        <w:t>j</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j</w:t>
      </w:r>
      <w:r>
        <w:rPr>
          <w:rFonts w:hint="eastAsia" w:ascii="仿宋_GB2312" w:eastAsia="仿宋_GB2312" w:cs="仿宋_GB2312"/>
          <w:color w:val="000000"/>
          <w:kern w:val="0"/>
          <w:sz w:val="32"/>
          <w:szCs w:val="32"/>
        </w:rPr>
        <w:t>项资源利用绿色化指标引领值；</w:t>
      </w:r>
    </w:p>
    <w:p>
      <w:pPr>
        <w:autoSpaceDE w:val="0"/>
        <w:autoSpaceDN w:val="0"/>
        <w:adjustRightInd w:val="0"/>
        <w:snapToGrid w:val="0"/>
        <w:spacing w:line="360" w:lineRule="auto"/>
        <w:ind w:firstLine="566" w:firstLineChars="177"/>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IG</w:t>
      </w:r>
      <w:r>
        <w:rPr>
          <w:rFonts w:hint="eastAsia" w:ascii="仿宋_GB2312" w:eastAsia="仿宋_GB2312" w:cs="仿宋_GB2312"/>
          <w:color w:val="000000"/>
          <w:kern w:val="0"/>
          <w:sz w:val="32"/>
          <w:szCs w:val="32"/>
          <w:vertAlign w:val="subscript"/>
          <w:lang w:val="en-US" w:eastAsia="zh-CN"/>
        </w:rPr>
        <w:t>k</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k</w:t>
      </w:r>
      <w:r>
        <w:rPr>
          <w:rFonts w:hint="eastAsia" w:ascii="仿宋_GB2312" w:eastAsia="仿宋_GB2312" w:cs="仿宋_GB2312"/>
          <w:color w:val="000000"/>
          <w:kern w:val="0"/>
          <w:sz w:val="32"/>
          <w:szCs w:val="32"/>
        </w:rPr>
        <w:t>项基础设施绿色化指标值，</w:t>
      </w:r>
      <w:r>
        <w:rPr>
          <w:rFonts w:ascii="仿宋_GB2312" w:eastAsia="仿宋_GB2312" w:cs="仿宋_GB2312"/>
          <w:color w:val="000000"/>
          <w:kern w:val="0"/>
          <w:sz w:val="32"/>
          <w:szCs w:val="32"/>
        </w:rPr>
        <w:t>IG</w:t>
      </w:r>
      <w:r>
        <w:rPr>
          <w:rFonts w:ascii="仿宋_GB2312" w:eastAsia="仿宋_GB2312" w:cs="仿宋_GB2312"/>
          <w:color w:val="000000"/>
          <w:kern w:val="0"/>
          <w:sz w:val="32"/>
          <w:szCs w:val="32"/>
          <w:vertAlign w:val="subscript"/>
        </w:rPr>
        <w:t>b</w:t>
      </w:r>
      <w:r>
        <w:rPr>
          <w:rFonts w:hint="eastAsia" w:ascii="仿宋_GB2312" w:eastAsia="仿宋_GB2312" w:cs="仿宋_GB2312"/>
          <w:color w:val="000000"/>
          <w:kern w:val="0"/>
          <w:sz w:val="32"/>
          <w:szCs w:val="32"/>
          <w:vertAlign w:val="subscript"/>
          <w:lang w:val="en-US" w:eastAsia="zh-CN"/>
        </w:rPr>
        <w:t>k</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k</w:t>
      </w:r>
      <w:r>
        <w:rPr>
          <w:rFonts w:hint="eastAsia" w:ascii="仿宋_GB2312" w:eastAsia="仿宋_GB2312" w:cs="仿宋_GB2312"/>
          <w:color w:val="000000"/>
          <w:kern w:val="0"/>
          <w:sz w:val="32"/>
          <w:szCs w:val="32"/>
        </w:rPr>
        <w:t>项基础设施绿色化指标引领值；</w:t>
      </w:r>
    </w:p>
    <w:p>
      <w:pPr>
        <w:autoSpaceDE w:val="0"/>
        <w:autoSpaceDN w:val="0"/>
        <w:adjustRightInd w:val="0"/>
        <w:snapToGrid w:val="0"/>
        <w:spacing w:line="360" w:lineRule="auto"/>
        <w:ind w:firstLine="566" w:firstLineChars="177"/>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CG</w:t>
      </w:r>
      <w:r>
        <w:rPr>
          <w:rFonts w:hint="eastAsia" w:ascii="仿宋_GB2312" w:eastAsia="仿宋_GB2312" w:cs="仿宋_GB2312"/>
          <w:color w:val="000000"/>
          <w:kern w:val="0"/>
          <w:sz w:val="32"/>
          <w:szCs w:val="32"/>
          <w:vertAlign w:val="subscript"/>
          <w:lang w:val="en-US" w:eastAsia="zh-CN"/>
        </w:rPr>
        <w:t>f</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f</w:t>
      </w:r>
      <w:r>
        <w:rPr>
          <w:rFonts w:hint="eastAsia" w:ascii="仿宋_GB2312" w:eastAsia="仿宋_GB2312" w:cs="仿宋_GB2312"/>
          <w:color w:val="000000"/>
          <w:kern w:val="0"/>
          <w:sz w:val="32"/>
          <w:szCs w:val="32"/>
        </w:rPr>
        <w:t>项产业绿色化指标值，</w:t>
      </w:r>
      <w:r>
        <w:rPr>
          <w:rFonts w:ascii="仿宋_GB2312" w:eastAsia="仿宋_GB2312" w:cs="仿宋_GB2312"/>
          <w:color w:val="000000"/>
          <w:kern w:val="0"/>
          <w:sz w:val="32"/>
          <w:szCs w:val="32"/>
        </w:rPr>
        <w:t>CG</w:t>
      </w:r>
      <w:r>
        <w:rPr>
          <w:rFonts w:ascii="仿宋_GB2312" w:eastAsia="仿宋_GB2312" w:cs="仿宋_GB2312"/>
          <w:color w:val="000000"/>
          <w:kern w:val="0"/>
          <w:sz w:val="32"/>
          <w:szCs w:val="32"/>
          <w:vertAlign w:val="subscript"/>
        </w:rPr>
        <w:t>b</w:t>
      </w:r>
      <w:r>
        <w:rPr>
          <w:rFonts w:hint="eastAsia" w:ascii="仿宋_GB2312" w:eastAsia="仿宋_GB2312" w:cs="仿宋_GB2312"/>
          <w:color w:val="000000"/>
          <w:kern w:val="0"/>
          <w:sz w:val="32"/>
          <w:szCs w:val="32"/>
          <w:vertAlign w:val="subscript"/>
          <w:lang w:val="en-US" w:eastAsia="zh-CN"/>
        </w:rPr>
        <w:t>f</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f</w:t>
      </w:r>
      <w:r>
        <w:rPr>
          <w:rFonts w:hint="eastAsia" w:ascii="仿宋_GB2312" w:eastAsia="仿宋_GB2312" w:cs="仿宋_GB2312"/>
          <w:color w:val="000000"/>
          <w:kern w:val="0"/>
          <w:sz w:val="32"/>
          <w:szCs w:val="32"/>
        </w:rPr>
        <w:t>项产业绿色化指标引领值；</w:t>
      </w:r>
    </w:p>
    <w:p>
      <w:pPr>
        <w:autoSpaceDE w:val="0"/>
        <w:autoSpaceDN w:val="0"/>
        <w:adjustRightInd w:val="0"/>
        <w:snapToGrid w:val="0"/>
        <w:spacing w:line="360" w:lineRule="auto"/>
        <w:ind w:firstLine="566" w:firstLineChars="177"/>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HG</w:t>
      </w:r>
      <w:r>
        <w:rPr>
          <w:rFonts w:hint="eastAsia" w:ascii="仿宋_GB2312" w:eastAsia="仿宋_GB2312" w:cs="仿宋_GB2312"/>
          <w:color w:val="000000"/>
          <w:kern w:val="0"/>
          <w:sz w:val="32"/>
          <w:szCs w:val="32"/>
          <w:vertAlign w:val="subscript"/>
          <w:lang w:val="en-US" w:eastAsia="zh-CN"/>
        </w:rPr>
        <w:t>l</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l</w:t>
      </w:r>
      <w:r>
        <w:rPr>
          <w:rFonts w:hint="eastAsia" w:ascii="仿宋_GB2312" w:eastAsia="仿宋_GB2312" w:cs="仿宋_GB2312"/>
          <w:color w:val="000000"/>
          <w:kern w:val="0"/>
          <w:sz w:val="32"/>
          <w:szCs w:val="32"/>
        </w:rPr>
        <w:t>项生态环境绿色化指标值，</w:t>
      </w:r>
      <w:r>
        <w:rPr>
          <w:rFonts w:ascii="仿宋_GB2312" w:eastAsia="仿宋_GB2312" w:cs="仿宋_GB2312"/>
          <w:color w:val="000000"/>
          <w:kern w:val="0"/>
          <w:sz w:val="32"/>
          <w:szCs w:val="32"/>
        </w:rPr>
        <w:t>HG</w:t>
      </w:r>
      <w:r>
        <w:rPr>
          <w:rFonts w:ascii="仿宋_GB2312" w:eastAsia="仿宋_GB2312" w:cs="仿宋_GB2312"/>
          <w:color w:val="000000"/>
          <w:kern w:val="0"/>
          <w:sz w:val="32"/>
          <w:szCs w:val="32"/>
          <w:vertAlign w:val="subscript"/>
        </w:rPr>
        <w:t>b</w:t>
      </w:r>
      <w:r>
        <w:rPr>
          <w:rFonts w:hint="eastAsia" w:ascii="仿宋_GB2312" w:eastAsia="仿宋_GB2312" w:cs="仿宋_GB2312"/>
          <w:color w:val="000000"/>
          <w:kern w:val="0"/>
          <w:sz w:val="32"/>
          <w:szCs w:val="32"/>
          <w:vertAlign w:val="subscript"/>
          <w:lang w:val="en-US" w:eastAsia="zh-CN"/>
        </w:rPr>
        <w:t>l</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l</w:t>
      </w:r>
      <w:r>
        <w:rPr>
          <w:rFonts w:hint="eastAsia" w:ascii="仿宋_GB2312" w:eastAsia="仿宋_GB2312" w:cs="仿宋_GB2312"/>
          <w:color w:val="000000"/>
          <w:kern w:val="0"/>
          <w:sz w:val="32"/>
          <w:szCs w:val="32"/>
        </w:rPr>
        <w:t>项生态环境绿色化指标引领值；</w:t>
      </w:r>
    </w:p>
    <w:p>
      <w:pPr>
        <w:autoSpaceDE w:val="0"/>
        <w:autoSpaceDN w:val="0"/>
        <w:adjustRightInd w:val="0"/>
        <w:snapToGrid w:val="0"/>
        <w:spacing w:line="360" w:lineRule="auto"/>
        <w:ind w:firstLine="566" w:firstLineChars="177"/>
        <w:jc w:val="left"/>
        <w:rPr>
          <w:rFonts w:ascii="仿宋_GB2312" w:eastAsia="仿宋_GB2312" w:cs="Times New Roman"/>
          <w:color w:val="000000"/>
          <w:kern w:val="0"/>
          <w:sz w:val="32"/>
          <w:szCs w:val="32"/>
        </w:rPr>
      </w:pPr>
      <w:r>
        <w:rPr>
          <w:rFonts w:ascii="仿宋_GB2312" w:eastAsia="仿宋_GB2312" w:cs="仿宋_GB2312"/>
          <w:color w:val="000000"/>
          <w:kern w:val="0"/>
          <w:sz w:val="32"/>
          <w:szCs w:val="32"/>
        </w:rPr>
        <w:t>MG</w:t>
      </w:r>
      <w:r>
        <w:rPr>
          <w:rFonts w:hint="eastAsia" w:ascii="仿宋_GB2312" w:eastAsia="仿宋_GB2312" w:cs="仿宋_GB2312"/>
          <w:color w:val="000000"/>
          <w:kern w:val="0"/>
          <w:sz w:val="32"/>
          <w:szCs w:val="32"/>
          <w:vertAlign w:val="subscript"/>
          <w:lang w:val="en-US" w:eastAsia="zh-CN"/>
        </w:rPr>
        <w:t>p</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p</w:t>
      </w:r>
      <w:r>
        <w:rPr>
          <w:rFonts w:hint="eastAsia" w:ascii="仿宋_GB2312" w:eastAsia="仿宋_GB2312" w:cs="仿宋_GB2312"/>
          <w:color w:val="000000"/>
          <w:kern w:val="0"/>
          <w:sz w:val="32"/>
          <w:szCs w:val="32"/>
        </w:rPr>
        <w:t>项运行管理绿色化指标值，</w:t>
      </w:r>
      <w:r>
        <w:rPr>
          <w:rFonts w:ascii="仿宋_GB2312" w:eastAsia="仿宋_GB2312" w:cs="仿宋_GB2312"/>
          <w:color w:val="000000"/>
          <w:kern w:val="0"/>
          <w:sz w:val="32"/>
          <w:szCs w:val="32"/>
        </w:rPr>
        <w:t>MG</w:t>
      </w:r>
      <w:r>
        <w:rPr>
          <w:rFonts w:ascii="仿宋_GB2312" w:eastAsia="仿宋_GB2312" w:cs="仿宋_GB2312"/>
          <w:color w:val="000000"/>
          <w:kern w:val="0"/>
          <w:sz w:val="32"/>
          <w:szCs w:val="32"/>
          <w:vertAlign w:val="subscript"/>
        </w:rPr>
        <w:t>b</w:t>
      </w:r>
      <w:r>
        <w:rPr>
          <w:rFonts w:hint="eastAsia" w:ascii="仿宋_GB2312" w:eastAsia="仿宋_GB2312" w:cs="仿宋_GB2312"/>
          <w:color w:val="000000"/>
          <w:kern w:val="0"/>
          <w:sz w:val="32"/>
          <w:szCs w:val="32"/>
          <w:vertAlign w:val="subscript"/>
          <w:lang w:val="en-US" w:eastAsia="zh-CN"/>
        </w:rPr>
        <w:t>p</w:t>
      </w:r>
      <w:r>
        <w:rPr>
          <w:rFonts w:hint="eastAsia" w:ascii="仿宋_GB2312" w:eastAsia="仿宋_GB2312" w:cs="仿宋_GB2312"/>
          <w:color w:val="000000"/>
          <w:kern w:val="0"/>
          <w:sz w:val="32"/>
          <w:szCs w:val="32"/>
        </w:rPr>
        <w:t>为第</w:t>
      </w:r>
      <w:r>
        <w:rPr>
          <w:rFonts w:hint="eastAsia" w:ascii="仿宋_GB2312" w:eastAsia="仿宋_GB2312" w:cs="仿宋_GB2312"/>
          <w:color w:val="000000"/>
          <w:kern w:val="0"/>
          <w:sz w:val="32"/>
          <w:szCs w:val="32"/>
          <w:lang w:val="en-US" w:eastAsia="zh-CN"/>
        </w:rPr>
        <w:t>p</w:t>
      </w:r>
      <w:bookmarkStart w:id="4" w:name="_GoBack"/>
      <w:bookmarkEnd w:id="4"/>
      <w:r>
        <w:rPr>
          <w:rFonts w:hint="eastAsia" w:ascii="仿宋_GB2312" w:eastAsia="仿宋_GB2312" w:cs="仿宋_GB2312"/>
          <w:color w:val="000000"/>
          <w:kern w:val="0"/>
          <w:sz w:val="32"/>
          <w:szCs w:val="32"/>
        </w:rPr>
        <w:t>项运行管理绿色化指标引领值。</w:t>
      </w:r>
    </w:p>
    <w:p>
      <w:pPr>
        <w:autoSpaceDE w:val="0"/>
        <w:autoSpaceDN w:val="0"/>
        <w:adjustRightInd w:val="0"/>
        <w:snapToGrid w:val="0"/>
        <w:spacing w:line="360" w:lineRule="auto"/>
        <w:ind w:firstLine="496" w:firstLineChars="177"/>
        <w:jc w:val="left"/>
        <w:rPr>
          <w:rFonts w:ascii="楷体_GB2312" w:eastAsia="楷体_GB2312" w:cs="Times New Roman"/>
          <w:color w:val="000000"/>
          <w:kern w:val="0"/>
          <w:sz w:val="28"/>
          <w:szCs w:val="32"/>
        </w:rPr>
      </w:pPr>
      <w:r>
        <w:rPr>
          <w:rFonts w:hint="eastAsia" w:ascii="楷体_GB2312" w:eastAsia="楷体_GB2312" w:cs="楷体_GB2312"/>
          <w:color w:val="000000"/>
          <w:kern w:val="0"/>
          <w:sz w:val="28"/>
          <w:szCs w:val="32"/>
        </w:rPr>
        <w:t>注：正向指标（越大越好的指标）和逆向指标（越小越好的指标）数值的无量纲化分别采用指标值</w:t>
      </w:r>
      <w:r>
        <w:rPr>
          <w:rFonts w:ascii="楷体_GB2312" w:eastAsia="楷体_GB2312" w:cs="楷体_GB2312"/>
          <w:color w:val="000000"/>
          <w:kern w:val="0"/>
          <w:sz w:val="28"/>
          <w:szCs w:val="32"/>
        </w:rPr>
        <w:t>/</w:t>
      </w:r>
      <w:r>
        <w:rPr>
          <w:rFonts w:hint="eastAsia" w:ascii="楷体_GB2312" w:eastAsia="楷体_GB2312" w:cs="楷体_GB2312"/>
          <w:color w:val="000000"/>
          <w:kern w:val="0"/>
          <w:sz w:val="28"/>
          <w:szCs w:val="32"/>
        </w:rPr>
        <w:t>引领值、引领值</w:t>
      </w:r>
      <w:r>
        <w:rPr>
          <w:rFonts w:ascii="楷体_GB2312" w:eastAsia="楷体_GB2312" w:cs="楷体_GB2312"/>
          <w:color w:val="000000"/>
          <w:kern w:val="0"/>
          <w:sz w:val="28"/>
          <w:szCs w:val="32"/>
        </w:rPr>
        <w:t>/</w:t>
      </w:r>
      <w:r>
        <w:rPr>
          <w:rFonts w:hint="eastAsia" w:ascii="楷体_GB2312" w:eastAsia="楷体_GB2312" w:cs="楷体_GB2312"/>
          <w:color w:val="000000"/>
          <w:kern w:val="0"/>
          <w:sz w:val="28"/>
          <w:szCs w:val="32"/>
        </w:rPr>
        <w:t>指标值。在全部指标中，单位工业增加值废水排放量和主要污染物弹性系数属于逆向指标，无量纲化方法采用引领值</w:t>
      </w:r>
      <w:r>
        <w:rPr>
          <w:rFonts w:ascii="楷体_GB2312" w:eastAsia="楷体_GB2312" w:cs="楷体_GB2312"/>
          <w:color w:val="000000"/>
          <w:kern w:val="0"/>
          <w:sz w:val="28"/>
          <w:szCs w:val="32"/>
        </w:rPr>
        <w:t>/</w:t>
      </w:r>
      <w:r>
        <w:rPr>
          <w:rFonts w:hint="eastAsia" w:ascii="楷体_GB2312" w:eastAsia="楷体_GB2312" w:cs="楷体_GB2312"/>
          <w:color w:val="000000"/>
          <w:kern w:val="0"/>
          <w:sz w:val="28"/>
          <w:szCs w:val="32"/>
        </w:rPr>
        <w:t>指标值。</w:t>
      </w:r>
    </w:p>
    <w:p>
      <w:pPr>
        <w:autoSpaceDE w:val="0"/>
        <w:autoSpaceDN w:val="0"/>
        <w:adjustRightInd w:val="0"/>
        <w:snapToGrid w:val="0"/>
        <w:spacing w:line="360" w:lineRule="auto"/>
        <w:ind w:firstLine="640" w:firstLineChars="200"/>
        <w:rPr>
          <w:rFonts w:ascii="仿宋_GB2312" w:eastAsia="仿宋_GB2312" w:cs="仿宋_GB2312"/>
          <w:color w:val="000000"/>
          <w:kern w:val="0"/>
          <w:sz w:val="32"/>
          <w:szCs w:val="32"/>
        </w:rPr>
      </w:pPr>
    </w:p>
    <w:p>
      <w:pPr>
        <w:autoSpaceDE w:val="0"/>
        <w:autoSpaceDN w:val="0"/>
        <w:adjustRightInd w:val="0"/>
        <w:snapToGri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绿色化指标中二级指标计算方法如下：</w:t>
      </w:r>
    </w:p>
    <w:p>
      <w:pPr>
        <w:autoSpaceDE w:val="0"/>
        <w:autoSpaceDN w:val="0"/>
        <w:adjustRightInd w:val="0"/>
        <w:spacing w:line="360" w:lineRule="auto"/>
        <w:ind w:firstLine="643" w:firstLineChars="200"/>
        <w:rPr>
          <w:rFonts w:ascii="仿宋_GB2312" w:eastAsia="仿宋_GB2312" w:cs="Times New Roman"/>
          <w:b/>
          <w:bCs/>
          <w:color w:val="000000"/>
          <w:kern w:val="0"/>
          <w:sz w:val="32"/>
          <w:szCs w:val="32"/>
        </w:rPr>
      </w:pPr>
      <w:r>
        <w:rPr>
          <w:rFonts w:ascii="仿宋_GB2312" w:eastAsia="仿宋_GB2312" w:cs="仿宋_GB2312"/>
          <w:b/>
          <w:bCs/>
          <w:color w:val="000000"/>
          <w:kern w:val="0"/>
          <w:sz w:val="32"/>
          <w:szCs w:val="32"/>
        </w:rPr>
        <w:t>1.</w:t>
      </w:r>
      <w:r>
        <w:rPr>
          <w:rFonts w:hint="eastAsia" w:ascii="仿宋_GB2312" w:eastAsia="仿宋_GB2312" w:cs="仿宋_GB2312"/>
          <w:b/>
          <w:bCs/>
          <w:color w:val="000000"/>
          <w:kern w:val="0"/>
          <w:sz w:val="32"/>
          <w:szCs w:val="32"/>
        </w:rPr>
        <w:t>能源利用绿色化指标（</w:t>
      </w:r>
      <w:r>
        <w:rPr>
          <w:rFonts w:ascii="仿宋_GB2312" w:eastAsia="仿宋_GB2312" w:cs="仿宋_GB2312"/>
          <w:b/>
          <w:bCs/>
          <w:color w:val="000000"/>
          <w:kern w:val="0"/>
          <w:sz w:val="32"/>
          <w:szCs w:val="32"/>
        </w:rPr>
        <w:t>3</w:t>
      </w:r>
      <w:r>
        <w:rPr>
          <w:rFonts w:hint="eastAsia" w:ascii="仿宋_GB2312" w:eastAsia="仿宋_GB2312" w:cs="仿宋_GB2312"/>
          <w:b/>
          <w:bCs/>
          <w:color w:val="000000"/>
          <w:kern w:val="0"/>
          <w:sz w:val="32"/>
          <w:szCs w:val="32"/>
        </w:rPr>
        <w:t>个必选指标）</w:t>
      </w:r>
    </w:p>
    <w:p>
      <w:pPr>
        <w:autoSpaceDE w:val="0"/>
        <w:autoSpaceDN w:val="0"/>
        <w:adjustRightIn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能源利用绿色化指标包括能源产出率和可再生能源使用比例、清洁能源使用率</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个必选指标。</w:t>
      </w:r>
    </w:p>
    <w:p>
      <w:pPr>
        <w:pStyle w:val="22"/>
        <w:widowControl w:val="0"/>
        <w:tabs>
          <w:tab w:val="left" w:pos="1418"/>
        </w:tabs>
        <w:autoSpaceDE w:val="0"/>
        <w:autoSpaceDN w:val="0"/>
        <w:adjustRightInd w:val="0"/>
        <w:spacing w:line="360" w:lineRule="auto"/>
        <w:ind w:left="619" w:firstLine="0" w:firstLineChars="0"/>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）能源产出率（必选）</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指标解释：指报告期内园区工业增加值与能源消耗总量的比值，该项指标越大，表明能源产出效率越高。能源主要包括原煤、原油、天然气、核电、水电、风电等一次能源。工业增加值采用</w:t>
      </w:r>
      <w:r>
        <w:rPr>
          <w:rFonts w:ascii="仿宋_GB2312" w:eastAsia="仿宋_GB2312" w:cs="仿宋_GB2312"/>
          <w:color w:val="000000"/>
          <w:kern w:val="0"/>
          <w:sz w:val="32"/>
          <w:szCs w:val="32"/>
        </w:rPr>
        <w:t>2010</w:t>
      </w:r>
      <w:r>
        <w:rPr>
          <w:rFonts w:hint="eastAsia" w:ascii="仿宋_GB2312" w:eastAsia="仿宋_GB2312" w:cs="仿宋_GB2312"/>
          <w:color w:val="000000"/>
          <w:kern w:val="0"/>
          <w:sz w:val="32"/>
          <w:szCs w:val="32"/>
        </w:rPr>
        <w:t>年不变价，下同。</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计算公式：能源产出率</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园区工业增加值（万元不变价）</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能源综合消耗总量（</w:t>
      </w:r>
      <w:r>
        <w:rPr>
          <w:rFonts w:ascii="仿宋_GB2312" w:eastAsia="仿宋_GB2312" w:cs="仿宋_GB2312"/>
          <w:color w:val="000000"/>
          <w:kern w:val="0"/>
          <w:sz w:val="32"/>
          <w:szCs w:val="32"/>
        </w:rPr>
        <w:t>tce</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）可再生能源使用比例（必选）</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指标解释：园区内工业企业的可再生能源使用量与综合能耗总量的比值。可再生能源包括太阳能、水能、生物质能、地热能、氢能、潮汐能等非化石能源。</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计算公式：可再生能源使用比例（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工业企业可再生能源使用量（</w:t>
      </w:r>
      <w:r>
        <w:rPr>
          <w:rFonts w:ascii="仿宋_GB2312" w:eastAsia="仿宋_GB2312" w:cs="仿宋_GB2312"/>
          <w:color w:val="000000"/>
          <w:kern w:val="0"/>
          <w:sz w:val="32"/>
          <w:szCs w:val="32"/>
        </w:rPr>
        <w:t>tce</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工业企业综合能耗总量（</w:t>
      </w:r>
      <w:r>
        <w:rPr>
          <w:rFonts w:ascii="仿宋_GB2312" w:eastAsia="仿宋_GB2312" w:cs="仿宋_GB2312"/>
          <w:color w:val="000000"/>
          <w:kern w:val="0"/>
          <w:sz w:val="32"/>
          <w:szCs w:val="32"/>
        </w:rPr>
        <w:t>tce</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）清洁能源使用率（必选）</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清洁能源使用量与园区终端能源消费总量之比，能源使用量均按标煤计。其中，清洁能源包括用作燃烧的天然气、焦炉煤气、其他煤气、炼厂干气、液化石油气等清洁燃气、电力及低硫轻柴油等清洁燃油（不包括机动车用燃油）。</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计算公式：清洁能源使用率（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清洁能源使用量（</w:t>
      </w:r>
      <w:r>
        <w:rPr>
          <w:rFonts w:ascii="仿宋_GB2312" w:eastAsia="仿宋_GB2312" w:cs="仿宋_GB2312"/>
          <w:color w:val="000000"/>
          <w:kern w:val="0"/>
          <w:sz w:val="32"/>
          <w:szCs w:val="32"/>
        </w:rPr>
        <w:t>tce</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终端能源消费总量（</w:t>
      </w:r>
      <w:r>
        <w:rPr>
          <w:rFonts w:ascii="仿宋_GB2312" w:eastAsia="仿宋_GB2312" w:cs="仿宋_GB2312"/>
          <w:color w:val="000000"/>
          <w:kern w:val="0"/>
          <w:sz w:val="32"/>
          <w:szCs w:val="32"/>
        </w:rPr>
        <w:t>tce</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autoSpaceDE w:val="0"/>
        <w:autoSpaceDN w:val="0"/>
        <w:adjustRightInd w:val="0"/>
        <w:spacing w:line="360" w:lineRule="auto"/>
        <w:ind w:firstLine="643" w:firstLineChars="200"/>
        <w:rPr>
          <w:rFonts w:ascii="仿宋_GB2312" w:eastAsia="仿宋_GB2312" w:cs="Times New Roman"/>
          <w:b/>
          <w:bCs/>
          <w:color w:val="000000"/>
          <w:kern w:val="0"/>
          <w:sz w:val="32"/>
          <w:szCs w:val="32"/>
        </w:rPr>
      </w:pPr>
      <w:r>
        <w:rPr>
          <w:rFonts w:ascii="仿宋_GB2312" w:eastAsia="仿宋_GB2312" w:cs="仿宋_GB2312"/>
          <w:b/>
          <w:bCs/>
          <w:color w:val="000000"/>
          <w:kern w:val="0"/>
          <w:sz w:val="32"/>
          <w:szCs w:val="32"/>
        </w:rPr>
        <w:t>2.</w:t>
      </w:r>
      <w:r>
        <w:rPr>
          <w:rFonts w:hint="eastAsia" w:ascii="仿宋_GB2312" w:eastAsia="仿宋_GB2312" w:cs="仿宋_GB2312"/>
          <w:b/>
          <w:bCs/>
          <w:color w:val="000000"/>
          <w:kern w:val="0"/>
          <w:sz w:val="32"/>
          <w:szCs w:val="32"/>
        </w:rPr>
        <w:t>资源利用绿色化指标（</w:t>
      </w:r>
      <w:r>
        <w:rPr>
          <w:rFonts w:ascii="仿宋_GB2312" w:eastAsia="仿宋_GB2312" w:cs="仿宋_GB2312"/>
          <w:b/>
          <w:bCs/>
          <w:color w:val="000000"/>
          <w:kern w:val="0"/>
          <w:sz w:val="32"/>
          <w:szCs w:val="32"/>
        </w:rPr>
        <w:t>4</w:t>
      </w:r>
      <w:r>
        <w:rPr>
          <w:rFonts w:hint="eastAsia" w:ascii="仿宋_GB2312" w:eastAsia="仿宋_GB2312" w:cs="仿宋_GB2312"/>
          <w:b/>
          <w:bCs/>
          <w:color w:val="000000"/>
          <w:kern w:val="0"/>
          <w:sz w:val="32"/>
          <w:szCs w:val="32"/>
        </w:rPr>
        <w:t>个必选指标</w:t>
      </w:r>
      <w:r>
        <w:rPr>
          <w:rFonts w:ascii="仿宋_GB2312" w:eastAsia="仿宋_GB2312" w:cs="仿宋_GB2312"/>
          <w:b/>
          <w:bCs/>
          <w:color w:val="000000"/>
          <w:kern w:val="0"/>
          <w:sz w:val="32"/>
          <w:szCs w:val="32"/>
        </w:rPr>
        <w:t>+2</w:t>
      </w:r>
      <w:r>
        <w:rPr>
          <w:rFonts w:hint="eastAsia" w:ascii="仿宋_GB2312" w:eastAsia="仿宋_GB2312" w:cs="仿宋_GB2312"/>
          <w:b/>
          <w:bCs/>
          <w:color w:val="000000"/>
          <w:kern w:val="0"/>
          <w:sz w:val="32"/>
          <w:szCs w:val="32"/>
        </w:rPr>
        <w:t>个可选指标）</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资源利用绿色化指标包括水资源产出率、土地资源产出率、工业固体废弃物综合利用率、工业用水重复利用率</w:t>
      </w: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个必选指标，以及从中水回用率、余热资源回收利用率、废气资源回收利用率、再生资源回收利用率</w:t>
      </w: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个可选指标中选取的</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个指标。</w:t>
      </w:r>
    </w:p>
    <w:p>
      <w:pPr>
        <w:pStyle w:val="22"/>
        <w:widowControl w:val="0"/>
        <w:tabs>
          <w:tab w:val="left" w:pos="1418"/>
        </w:tabs>
        <w:autoSpaceDE w:val="0"/>
        <w:autoSpaceDN w:val="0"/>
        <w:adjustRightInd w:val="0"/>
        <w:spacing w:line="360" w:lineRule="auto"/>
        <w:ind w:left="619" w:firstLine="0" w:firstLineChars="0"/>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）水资源产出率（必选）</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和。</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计算公式：水资源产出率</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园区工业增加值（万元不变价）</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园区工业用新鲜水量（</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3</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）土地资源产出率（必选）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计算公式：土地产出率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园区工业增加值（万元不变价）</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园区工业用地面积（</w:t>
      </w:r>
      <w:r>
        <w:rPr>
          <w:rFonts w:ascii="仿宋_GB2312" w:eastAsia="仿宋_GB2312" w:cs="仿宋_GB2312"/>
          <w:color w:val="000000"/>
          <w:kern w:val="0"/>
          <w:sz w:val="32"/>
          <w:szCs w:val="32"/>
        </w:rPr>
        <w:t>km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）工业固体废弃物综合利用率（必选）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工业固体废物综合利用量占工业固体废物产生量（包括综合利用往年贮存量）的百分率。工业固体废物综合利用量指报告期内企业通过回收、加工、循环、交换等方式，从固体废物中提取或者使其转化为可以利用的资源、能源和其他原材料的固体废物量（包括当年利用往年的工业固体废物贮存量），如用作农业肥料、生产建筑材料、筑路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计算公式：工业固体废弃物综合利用率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工业固体废弃物综合利用量（</w:t>
      </w:r>
      <w:r>
        <w:rPr>
          <w:rFonts w:ascii="仿宋_GB2312" w:eastAsia="仿宋_GB2312" w:cs="仿宋_GB2312"/>
          <w:color w:val="000000"/>
          <w:kern w:val="0"/>
          <w:sz w:val="32"/>
          <w:szCs w:val="32"/>
        </w:rPr>
        <w:t>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（工业固体废弃物产生量</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综合利用往年贮存量</w:t>
      </w:r>
      <w:r>
        <w:rPr>
          <w:rFonts w:ascii="仿宋_GB2312" w:eastAsia="仿宋_GB2312" w:cs="仿宋_GB2312"/>
          <w:color w:val="000000"/>
          <w:kern w:val="0"/>
          <w:sz w:val="32"/>
          <w:szCs w:val="32"/>
        </w:rPr>
        <w:t>(t)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）工业用水重复利用率（必选）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工业重复用水量占工业用水总量的百分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计算公式：工业用水重复利用率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工业重复用水量（</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3</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工业用水总量（</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3</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）中水回用率（可选）</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指标解释：指园区内再生水的回用量与污水处理厂处理量的比值。其中，再生水（中水）是指二级达标水经再生工艺净化处理后，达到中水水质指标要求，满足某种使用要求的水。</w:t>
      </w:r>
    </w:p>
    <w:p>
      <w:pPr>
        <w:autoSpaceDE w:val="0"/>
        <w:autoSpaceDN w:val="0"/>
        <w:adjustRightInd w:val="0"/>
        <w:spacing w:line="360" w:lineRule="auto"/>
        <w:ind w:firstLine="707" w:firstLineChars="221"/>
        <w:jc w:val="left"/>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计算公式：中水会用率（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园区再生水（中水）回用量（万吨）</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园区污水处理厂处理量（万吨）×</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）余热资源回收利用率（可选）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指标解释：已回收利用的余热占园区余热资源的比重。</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它是反映企业余热资源回收利用程度的重要指标。余热回收利用是回收生产工艺过程中排出的具有高于环境温度的气态（如高温烟气）、液态（如冷却水）、固态（如各种高温钢材）物质所载有的热能，并加以利用的过程。园区余热资源量按照</w:t>
      </w:r>
      <w:r>
        <w:rPr>
          <w:rFonts w:ascii="仿宋_GB2312" w:eastAsia="仿宋_GB2312" w:cs="仿宋_GB2312"/>
          <w:color w:val="000000"/>
          <w:kern w:val="0"/>
          <w:sz w:val="32"/>
          <w:szCs w:val="32"/>
        </w:rPr>
        <w:t xml:space="preserve">GB/T 1028 </w:t>
      </w:r>
      <w:r>
        <w:rPr>
          <w:rFonts w:hint="eastAsia" w:ascii="仿宋_GB2312" w:eastAsia="仿宋_GB2312" w:cs="仿宋_GB2312"/>
          <w:color w:val="000000"/>
          <w:kern w:val="0"/>
          <w:sz w:val="32"/>
          <w:szCs w:val="32"/>
        </w:rPr>
        <w:t>计算。</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计算公式：余热资源回收利用率（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回收利用的余热资源量（</w:t>
      </w:r>
      <w:r>
        <w:rPr>
          <w:rFonts w:ascii="仿宋_GB2312" w:eastAsia="仿宋_GB2312" w:cs="仿宋_GB2312"/>
          <w:color w:val="000000"/>
          <w:kern w:val="0"/>
          <w:sz w:val="32"/>
          <w:szCs w:val="32"/>
        </w:rPr>
        <w:t>kJ</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园区总余热资源量（</w:t>
      </w:r>
      <w:r>
        <w:rPr>
          <w:rFonts w:ascii="仿宋_GB2312" w:eastAsia="仿宋_GB2312" w:cs="仿宋_GB2312"/>
          <w:color w:val="000000"/>
          <w:kern w:val="0"/>
          <w:sz w:val="32"/>
          <w:szCs w:val="32"/>
        </w:rPr>
        <w:t>kJ</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7</w:t>
      </w:r>
      <w:r>
        <w:rPr>
          <w:rFonts w:hint="eastAsia" w:ascii="仿宋_GB2312" w:eastAsia="仿宋_GB2312" w:cs="仿宋_GB2312"/>
          <w:color w:val="000000"/>
          <w:kern w:val="0"/>
          <w:sz w:val="32"/>
          <w:szCs w:val="32"/>
        </w:rPr>
        <w:t>）废气资源回收利用率（可选）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计算公式：废气资源回收利用率（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回收利用的废气资源量（万</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3</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园区可回收利用总废气资源量（万</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3</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8</w:t>
      </w:r>
      <w:r>
        <w:rPr>
          <w:rFonts w:hint="eastAsia" w:ascii="仿宋_GB2312" w:eastAsia="仿宋_GB2312" w:cs="仿宋_GB2312"/>
          <w:color w:val="000000"/>
          <w:kern w:val="0"/>
          <w:sz w:val="32"/>
          <w:szCs w:val="32"/>
        </w:rPr>
        <w:t>）再生资源回收利用率（可选）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计算公式：再生资源回收利用率（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再生资源循环利用量（万吨）</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再生资源收集量（万吨）×</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autoSpaceDE w:val="0"/>
        <w:autoSpaceDN w:val="0"/>
        <w:adjustRightInd w:val="0"/>
        <w:spacing w:line="360" w:lineRule="auto"/>
        <w:ind w:firstLine="643" w:firstLineChars="200"/>
        <w:rPr>
          <w:rFonts w:ascii="仿宋_GB2312" w:eastAsia="仿宋_GB2312" w:cs="Times New Roman"/>
          <w:b/>
          <w:bCs/>
          <w:color w:val="000000"/>
          <w:kern w:val="0"/>
          <w:sz w:val="32"/>
          <w:szCs w:val="32"/>
        </w:rPr>
      </w:pPr>
      <w:r>
        <w:rPr>
          <w:rFonts w:ascii="仿宋_GB2312" w:eastAsia="仿宋_GB2312" w:cs="仿宋_GB2312"/>
          <w:b/>
          <w:bCs/>
          <w:color w:val="000000"/>
          <w:kern w:val="0"/>
          <w:sz w:val="32"/>
          <w:szCs w:val="32"/>
        </w:rPr>
        <w:t>3.</w:t>
      </w:r>
      <w:r>
        <w:rPr>
          <w:rFonts w:hint="eastAsia" w:ascii="仿宋_GB2312" w:eastAsia="仿宋_GB2312" w:cs="仿宋_GB2312"/>
          <w:b/>
          <w:bCs/>
          <w:color w:val="000000"/>
          <w:kern w:val="0"/>
          <w:sz w:val="32"/>
          <w:szCs w:val="32"/>
        </w:rPr>
        <w:t>基础设施绿色化指标（</w:t>
      </w:r>
      <w:r>
        <w:rPr>
          <w:rFonts w:ascii="仿宋_GB2312" w:eastAsia="仿宋_GB2312" w:cs="仿宋_GB2312"/>
          <w:b/>
          <w:bCs/>
          <w:color w:val="000000"/>
          <w:kern w:val="0"/>
          <w:sz w:val="32"/>
          <w:szCs w:val="32"/>
        </w:rPr>
        <w:t>1</w:t>
      </w:r>
      <w:r>
        <w:rPr>
          <w:rFonts w:hint="eastAsia" w:ascii="仿宋_GB2312" w:eastAsia="仿宋_GB2312" w:cs="仿宋_GB2312"/>
          <w:b/>
          <w:bCs/>
          <w:color w:val="000000"/>
          <w:kern w:val="0"/>
          <w:sz w:val="32"/>
          <w:szCs w:val="32"/>
        </w:rPr>
        <w:t>个必选指标</w:t>
      </w:r>
      <w:r>
        <w:rPr>
          <w:rFonts w:ascii="仿宋_GB2312" w:eastAsia="仿宋_GB2312" w:cs="仿宋_GB2312"/>
          <w:b/>
          <w:bCs/>
          <w:color w:val="000000"/>
          <w:kern w:val="0"/>
          <w:sz w:val="32"/>
          <w:szCs w:val="32"/>
        </w:rPr>
        <w:t>+2</w:t>
      </w:r>
      <w:r>
        <w:rPr>
          <w:rFonts w:hint="eastAsia" w:ascii="仿宋_GB2312" w:eastAsia="仿宋_GB2312" w:cs="仿宋_GB2312"/>
          <w:b/>
          <w:bCs/>
          <w:color w:val="000000"/>
          <w:kern w:val="0"/>
          <w:sz w:val="32"/>
          <w:szCs w:val="32"/>
        </w:rPr>
        <w:t>个可选指标）</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基础设施绿色化指标包括污水集中处理设施</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个必选指标，以及从新建工业建筑中绿色建筑的比例、新建公共建筑中绿色建筑的比例</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个可选指标中选取</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个指标，从</w:t>
      </w:r>
      <w:r>
        <w:rPr>
          <w:rFonts w:ascii="仿宋_GB2312" w:eastAsia="仿宋_GB2312" w:cs="仿宋_GB2312"/>
          <w:color w:val="000000"/>
          <w:kern w:val="0"/>
          <w:sz w:val="32"/>
          <w:szCs w:val="32"/>
        </w:rPr>
        <w:t>500</w:t>
      </w:r>
      <w:r>
        <w:rPr>
          <w:rFonts w:hint="eastAsia" w:ascii="仿宋_GB2312" w:eastAsia="仿宋_GB2312" w:cs="仿宋_GB2312"/>
          <w:color w:val="000000"/>
          <w:kern w:val="0"/>
          <w:sz w:val="32"/>
          <w:szCs w:val="32"/>
        </w:rPr>
        <w:t>米公交站点覆盖率、节能与新能源公交车比例</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个可选指标中选取</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个指标。</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）污水集中处理设施（必选）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指标解释：园区内所有工业废水经预处理达到集中处理要求后进入安装有自动在线监控装置的污水集中处理设施（园区内或园区外）。</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）新建工业建筑中绿色建筑的比例（可选）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指标解释：园区新建工业建筑中的绿色建筑是按照</w:t>
      </w:r>
      <w:r>
        <w:rPr>
          <w:rFonts w:ascii="仿宋_GB2312" w:eastAsia="仿宋_GB2312" w:cs="仿宋_GB2312"/>
          <w:color w:val="000000"/>
          <w:kern w:val="0"/>
          <w:sz w:val="32"/>
          <w:szCs w:val="32"/>
        </w:rPr>
        <w:t>GB/T 50878-2013</w:t>
      </w:r>
      <w:r>
        <w:rPr>
          <w:rFonts w:hint="eastAsia" w:ascii="仿宋_GB2312" w:eastAsia="仿宋_GB2312" w:cs="仿宋_GB2312"/>
          <w:color w:val="000000"/>
          <w:kern w:val="0"/>
          <w:sz w:val="32"/>
          <w:szCs w:val="32"/>
        </w:rPr>
        <w:t>《绿色工业建筑评价标准》评价，获得二星及以上评级的工业建筑。</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计算公式：新建工业建筑中绿色建筑的比例（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新建工业建筑中绿色建筑的面积（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园区新建工业建筑面积（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）新建公共建筑中绿色建筑的比例（可选）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指标解释：园区新建公共建筑中的绿色建筑是按照</w:t>
      </w:r>
      <w:r>
        <w:rPr>
          <w:rFonts w:ascii="仿宋_GB2312" w:eastAsia="仿宋_GB2312" w:cs="仿宋_GB2312"/>
          <w:color w:val="000000"/>
          <w:kern w:val="0"/>
          <w:sz w:val="32"/>
          <w:szCs w:val="32"/>
        </w:rPr>
        <w:t xml:space="preserve">GB/T50378-2014 </w:t>
      </w:r>
      <w:r>
        <w:rPr>
          <w:rFonts w:hint="eastAsia" w:ascii="仿宋_GB2312" w:eastAsia="仿宋_GB2312" w:cs="仿宋_GB2312"/>
          <w:color w:val="000000"/>
          <w:kern w:val="0"/>
          <w:sz w:val="32"/>
          <w:szCs w:val="32"/>
        </w:rPr>
        <w:t>《绿色建筑评价标准》评价，获得二星及以上评级的公共建筑。</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计算公式：新建公共建筑中绿色建筑的比例（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新建公共建筑中绿色建筑的面积（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园区新建公共建筑面积（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500</w:t>
      </w:r>
      <w:r>
        <w:rPr>
          <w:rFonts w:hint="eastAsia" w:ascii="仿宋_GB2312" w:eastAsia="仿宋_GB2312" w:cs="仿宋_GB2312"/>
          <w:color w:val="000000"/>
          <w:kern w:val="0"/>
          <w:sz w:val="32"/>
          <w:szCs w:val="32"/>
        </w:rPr>
        <w:t>米公交站点覆盖率（可选）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指标解释：园区公共交通车站服务覆盖面积的总和占园区建成区面积的百分比。</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计算公式：具体根据</w:t>
      </w:r>
      <w:r>
        <w:rPr>
          <w:rFonts w:ascii="仿宋_GB2312" w:eastAsia="仿宋_GB2312" w:cs="仿宋_GB2312"/>
          <w:color w:val="000000"/>
          <w:kern w:val="0"/>
          <w:sz w:val="32"/>
          <w:szCs w:val="32"/>
        </w:rPr>
        <w:t xml:space="preserve">GB 50220 </w:t>
      </w:r>
      <w:r>
        <w:rPr>
          <w:rFonts w:hint="eastAsia" w:ascii="仿宋_GB2312" w:eastAsia="仿宋_GB2312" w:cs="仿宋_GB2312"/>
          <w:color w:val="000000"/>
          <w:kern w:val="0"/>
          <w:sz w:val="32"/>
          <w:szCs w:val="32"/>
        </w:rPr>
        <w:t>计算。</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）节能与新能源公交车比例（可选）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新能源公交车和非插电式混合动力公交车合称节能与新能源公交车。新能源公交车是指采用新型动力系统，完全或主要依靠新能源驱动的公交车；非插电式混合动力公交车是指没有外接充电功能的混合动力公交车。</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计算公式：节能与新能源公交车比例（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节能与新能源公交车数量（辆）</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园区公交车总量（辆）×</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autoSpaceDE w:val="0"/>
        <w:autoSpaceDN w:val="0"/>
        <w:adjustRightInd w:val="0"/>
        <w:spacing w:line="360" w:lineRule="auto"/>
        <w:ind w:firstLine="643" w:firstLineChars="200"/>
        <w:rPr>
          <w:rFonts w:ascii="仿宋_GB2312" w:eastAsia="仿宋_GB2312" w:cs="Times New Roman"/>
          <w:b/>
          <w:bCs/>
          <w:color w:val="000000"/>
          <w:kern w:val="0"/>
          <w:sz w:val="32"/>
          <w:szCs w:val="32"/>
        </w:rPr>
      </w:pPr>
      <w:r>
        <w:rPr>
          <w:rFonts w:ascii="仿宋_GB2312" w:eastAsia="仿宋_GB2312" w:cs="仿宋_GB2312"/>
          <w:b/>
          <w:bCs/>
          <w:color w:val="000000"/>
          <w:kern w:val="0"/>
          <w:sz w:val="32"/>
          <w:szCs w:val="32"/>
        </w:rPr>
        <w:t>4.</w:t>
      </w:r>
      <w:r>
        <w:rPr>
          <w:rFonts w:hint="eastAsia" w:ascii="仿宋_GB2312" w:eastAsia="仿宋_GB2312" w:cs="仿宋_GB2312"/>
          <w:b/>
          <w:bCs/>
          <w:color w:val="000000"/>
          <w:kern w:val="0"/>
          <w:sz w:val="32"/>
          <w:szCs w:val="32"/>
        </w:rPr>
        <w:t>产业绿色化指标（</w:t>
      </w:r>
      <w:r>
        <w:rPr>
          <w:rFonts w:ascii="仿宋_GB2312" w:eastAsia="仿宋_GB2312" w:cs="仿宋_GB2312"/>
          <w:b/>
          <w:bCs/>
          <w:color w:val="000000"/>
          <w:kern w:val="0"/>
          <w:sz w:val="32"/>
          <w:szCs w:val="32"/>
        </w:rPr>
        <w:t>2</w:t>
      </w:r>
      <w:r>
        <w:rPr>
          <w:rFonts w:hint="eastAsia" w:ascii="仿宋_GB2312" w:eastAsia="仿宋_GB2312" w:cs="仿宋_GB2312"/>
          <w:b/>
          <w:bCs/>
          <w:color w:val="000000"/>
          <w:kern w:val="0"/>
          <w:sz w:val="32"/>
          <w:szCs w:val="32"/>
        </w:rPr>
        <w:t>个必选指标</w:t>
      </w:r>
      <w:r>
        <w:rPr>
          <w:rFonts w:ascii="仿宋_GB2312" w:eastAsia="仿宋_GB2312" w:cs="仿宋_GB2312"/>
          <w:b/>
          <w:bCs/>
          <w:color w:val="000000"/>
          <w:kern w:val="0"/>
          <w:sz w:val="32"/>
          <w:szCs w:val="32"/>
        </w:rPr>
        <w:t>+1</w:t>
      </w:r>
      <w:r>
        <w:rPr>
          <w:rFonts w:hint="eastAsia" w:ascii="仿宋_GB2312" w:eastAsia="仿宋_GB2312" w:cs="仿宋_GB2312"/>
          <w:b/>
          <w:bCs/>
          <w:color w:val="000000"/>
          <w:kern w:val="0"/>
          <w:sz w:val="32"/>
          <w:szCs w:val="32"/>
        </w:rPr>
        <w:t>个可选指标）</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产业绿色化指标包括高技术产业产值占园区工业总产值比例、绿色产业增加值占园区工业增加值比例</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个必选指标，以及从人均工业增加值和现代服务业比例两个可选指标中选取</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个指标。</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）绿色产业增加值占园区工业增加值比例（必选）</w:t>
      </w:r>
    </w:p>
    <w:p>
      <w:pPr>
        <w:autoSpaceDE w:val="0"/>
        <w:autoSpaceDN w:val="0"/>
        <w:adjustRightInd w:val="0"/>
        <w:spacing w:line="360" w:lineRule="auto"/>
        <w:ind w:firstLine="707" w:firstLineChars="221"/>
        <w:rPr>
          <w:rFonts w:ascii="仿宋_GB2312" w:eastAsia="仿宋_GB2312" w:cs="Times New Roman"/>
          <w:color w:val="000000"/>
          <w:sz w:val="32"/>
          <w:szCs w:val="32"/>
        </w:rPr>
      </w:pPr>
      <w:r>
        <w:rPr>
          <w:rFonts w:hint="eastAsia" w:ascii="仿宋_GB2312" w:eastAsia="仿宋_GB2312" w:cs="仿宋_GB2312"/>
          <w:color w:val="000000"/>
          <w:kern w:val="0"/>
          <w:sz w:val="32"/>
          <w:szCs w:val="32"/>
        </w:rPr>
        <w:t>指标解释：园区内绿色产业的增加值与园区工业增加值的比值。其中，绿色产业增加值是依据国家统计局《战略性新兴产业分类（</w:t>
      </w:r>
      <w:r>
        <w:rPr>
          <w:rFonts w:ascii="仿宋_GB2312" w:eastAsia="仿宋_GB2312" w:cs="仿宋_GB2312"/>
          <w:color w:val="000000"/>
          <w:kern w:val="0"/>
          <w:sz w:val="32"/>
          <w:szCs w:val="32"/>
        </w:rPr>
        <w:t>2012)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试行</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中关于节能环保产业和新能源产业的具体分类统计得到。</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计算公式：绿色产业增加值占园区工业增加值比例（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绿色产业增加值（万元）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园区工业增加值（万元）×</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）高技术产业产值占园区工业总产值比例（必选）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指标解释：园区高技术产业产值占园区工业总产值的比值。</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计算公式：高技术产业产值占园区工业总产值比例（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高技术企业的工业产值之和（万元）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工业园区工业总产值（万元）×</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）人均工业增加值（可选）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指标解释：园区工业增加值与园区内工业企业从业人数的比值。</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计算公式：人均工业增加值（万元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人）</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园区工业增加值（万元）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园区年末工业企业从业人数（人）。</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）现代服务业比例（可选）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为适应现代园区发展的需求，而产生和发展起来的具有高技术含量和高文化含量的服务业。主要包括基础服务（包括通信服务和信息服务）、生产和市场服务（包括金融、物流、批发、电子商务、农业支撑服务以及中介和咨询等专业服务）、个人消费服务（包括教育、医疗保健、住宿、餐饮、文化娱乐、旅游、房地产、商品零售等）和公共服务（包括政府的公共管理服务、基础教育、公共卫生、医疗以及公益性信息服务等）。</w:t>
      </w:r>
    </w:p>
    <w:p>
      <w:pPr>
        <w:autoSpaceDE w:val="0"/>
        <w:autoSpaceDN w:val="0"/>
        <w:adjustRightInd w:val="0"/>
        <w:spacing w:line="360" w:lineRule="auto"/>
        <w:ind w:firstLine="707" w:firstLineChars="221"/>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计算公式：现代服务业比例（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现代服务业增加值（万元）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w:t>
      </w:r>
      <w:r>
        <w:rPr>
          <w:rFonts w:ascii="仿宋_GB2312" w:eastAsia="仿宋_GB2312" w:cs="仿宋_GB2312"/>
          <w:color w:val="000000"/>
          <w:kern w:val="0"/>
          <w:sz w:val="32"/>
          <w:szCs w:val="32"/>
        </w:rPr>
        <w:t>GDP</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autoSpaceDE w:val="0"/>
        <w:autoSpaceDN w:val="0"/>
        <w:adjustRightInd w:val="0"/>
        <w:spacing w:line="360" w:lineRule="auto"/>
        <w:ind w:firstLine="643" w:firstLineChars="200"/>
        <w:rPr>
          <w:rFonts w:ascii="仿宋_GB2312" w:eastAsia="仿宋_GB2312" w:cs="Times New Roman"/>
          <w:b/>
          <w:bCs/>
          <w:color w:val="000000"/>
          <w:kern w:val="0"/>
          <w:sz w:val="32"/>
          <w:szCs w:val="32"/>
        </w:rPr>
      </w:pPr>
      <w:r>
        <w:rPr>
          <w:rFonts w:ascii="仿宋_GB2312" w:eastAsia="仿宋_GB2312" w:cs="仿宋_GB2312"/>
          <w:b/>
          <w:bCs/>
          <w:color w:val="000000"/>
          <w:kern w:val="0"/>
          <w:sz w:val="32"/>
          <w:szCs w:val="32"/>
        </w:rPr>
        <w:t>5.</w:t>
      </w:r>
      <w:r>
        <w:rPr>
          <w:rFonts w:hint="eastAsia" w:ascii="仿宋_GB2312" w:eastAsia="仿宋_GB2312" w:cs="仿宋_GB2312"/>
          <w:b/>
          <w:bCs/>
          <w:color w:val="000000"/>
          <w:kern w:val="0"/>
          <w:sz w:val="32"/>
          <w:szCs w:val="32"/>
        </w:rPr>
        <w:t>生态环境绿色化指标（</w:t>
      </w:r>
      <w:r>
        <w:rPr>
          <w:rFonts w:ascii="仿宋_GB2312" w:eastAsia="仿宋_GB2312" w:cs="仿宋_GB2312"/>
          <w:b/>
          <w:bCs/>
          <w:color w:val="000000"/>
          <w:kern w:val="0"/>
          <w:sz w:val="32"/>
          <w:szCs w:val="32"/>
        </w:rPr>
        <w:t>5</w:t>
      </w:r>
      <w:r>
        <w:rPr>
          <w:rFonts w:hint="eastAsia" w:ascii="仿宋_GB2312" w:eastAsia="仿宋_GB2312" w:cs="仿宋_GB2312"/>
          <w:b/>
          <w:bCs/>
          <w:color w:val="000000"/>
          <w:kern w:val="0"/>
          <w:sz w:val="32"/>
          <w:szCs w:val="32"/>
        </w:rPr>
        <w:t>个必选指标</w:t>
      </w:r>
      <w:r>
        <w:rPr>
          <w:rFonts w:ascii="仿宋_GB2312" w:eastAsia="仿宋_GB2312" w:cs="仿宋_GB2312"/>
          <w:b/>
          <w:bCs/>
          <w:color w:val="000000"/>
          <w:kern w:val="0"/>
          <w:sz w:val="32"/>
          <w:szCs w:val="32"/>
        </w:rPr>
        <w:t>+1</w:t>
      </w:r>
      <w:r>
        <w:rPr>
          <w:rFonts w:hint="eastAsia" w:ascii="仿宋_GB2312" w:eastAsia="仿宋_GB2312" w:cs="仿宋_GB2312"/>
          <w:b/>
          <w:bCs/>
          <w:color w:val="000000"/>
          <w:kern w:val="0"/>
          <w:sz w:val="32"/>
          <w:szCs w:val="32"/>
        </w:rPr>
        <w:t>个可选指标）</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生态环境绿色化指标包括工业固体废弃物（含危废）处置利用率、万元工业增加值碳排放量消减率、单位工业增加值废水排放量、主要污染物弹性系数、园区空气质量优良率</w:t>
      </w: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个必选指标，以及从道路遮荫比例、露天停车场遮荫比例</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个可选指标选取</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个指标。</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）工业固体废弃物（含危废）处置利用率（必选）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指标解释：园区范围内各工业企业安全处置、综合利用及安全贮存的工业固体废物量（含危险废物）之和与当年工业固体废物总产生量的比值。</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计算公式：工业固体废弃物（含危废）处置利用率（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园区当年工业固体废物处置利用量（含危险废物）（</w:t>
      </w:r>
      <w:r>
        <w:rPr>
          <w:rFonts w:ascii="仿宋_GB2312" w:eastAsia="仿宋_GB2312" w:cs="仿宋_GB2312"/>
          <w:color w:val="000000"/>
          <w:kern w:val="0"/>
          <w:sz w:val="32"/>
          <w:szCs w:val="32"/>
        </w:rPr>
        <w:t>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园区当年工业固体废物总产生量（</w:t>
      </w:r>
      <w:r>
        <w:rPr>
          <w:rFonts w:ascii="仿宋_GB2312" w:eastAsia="仿宋_GB2312" w:cs="仿宋_GB2312"/>
          <w:color w:val="000000"/>
          <w:kern w:val="0"/>
          <w:sz w:val="32"/>
          <w:szCs w:val="32"/>
        </w:rPr>
        <w:t>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）万元工业增加值碳排放量消减率（必选）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指标解释：园区内工业企业产生单位工业增加值所排放的二氧化碳当量的创建期年均消减率。创建期是指绿色园区创建周期。</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计算公式：万元工业增加值碳排放量消减率（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（验收年单位工业增加值二氧化碳排放量</w:t>
      </w:r>
      <w:r>
        <w:rPr>
          <w:rFonts w:ascii="仿宋_GB2312" w:eastAsia="仿宋_GB2312" w:cs="仿宋_GB2312"/>
          <w:color w:val="000000"/>
          <w:kern w:val="0"/>
          <w:sz w:val="32"/>
          <w:szCs w:val="32"/>
        </w:rPr>
        <w:t>(tCO</w:t>
      </w:r>
      <w:r>
        <w:rPr>
          <w:rFonts w:ascii="仿宋_GB2312" w:eastAsia="仿宋_GB2312" w:cs="仿宋_GB2312"/>
          <w:color w:val="000000"/>
          <w:kern w:val="0"/>
          <w:sz w:val="32"/>
          <w:szCs w:val="32"/>
          <w:vertAlign w:val="subscript"/>
        </w:rPr>
        <w:t>2</w:t>
      </w:r>
      <w:r>
        <w:rPr>
          <w:rFonts w:ascii="仿宋_GB2312" w:eastAsia="仿宋_GB2312" w:cs="仿宋_GB2312"/>
          <w:color w:val="000000"/>
          <w:kern w:val="0"/>
          <w:sz w:val="32"/>
          <w:szCs w:val="32"/>
        </w:rPr>
        <w:t>eq./</w:t>
      </w:r>
      <w:r>
        <w:rPr>
          <w:rFonts w:hint="eastAsia" w:ascii="仿宋_GB2312" w:eastAsia="仿宋_GB2312" w:cs="仿宋_GB2312"/>
          <w:color w:val="000000"/>
          <w:kern w:val="0"/>
          <w:sz w:val="32"/>
          <w:szCs w:val="32"/>
        </w:rPr>
        <w:t>万元</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创建基准年单位工业增加值二氧化碳排放量</w:t>
      </w:r>
      <w:r>
        <w:rPr>
          <w:rFonts w:ascii="仿宋_GB2312" w:eastAsia="仿宋_GB2312" w:cs="仿宋_GB2312"/>
          <w:color w:val="000000"/>
          <w:kern w:val="0"/>
          <w:sz w:val="32"/>
          <w:szCs w:val="32"/>
        </w:rPr>
        <w:t>(tCO</w:t>
      </w:r>
      <w:r>
        <w:rPr>
          <w:rFonts w:ascii="仿宋_GB2312" w:eastAsia="仿宋_GB2312" w:cs="仿宋_GB2312"/>
          <w:color w:val="000000"/>
          <w:kern w:val="0"/>
          <w:sz w:val="32"/>
          <w:szCs w:val="32"/>
          <w:vertAlign w:val="subscript"/>
        </w:rPr>
        <w:t>2</w:t>
      </w:r>
      <w:r>
        <w:rPr>
          <w:rFonts w:ascii="仿宋_GB2312" w:eastAsia="仿宋_GB2312" w:cs="仿宋_GB2312"/>
          <w:color w:val="000000"/>
          <w:kern w:val="0"/>
          <w:sz w:val="32"/>
          <w:szCs w:val="32"/>
        </w:rPr>
        <w:t>eq./</w:t>
      </w:r>
      <w:r>
        <w:rPr>
          <w:rFonts w:hint="eastAsia" w:ascii="仿宋_GB2312" w:eastAsia="仿宋_GB2312" w:cs="仿宋_GB2312"/>
          <w:color w:val="000000"/>
          <w:kern w:val="0"/>
          <w:sz w:val="32"/>
          <w:szCs w:val="32"/>
        </w:rPr>
        <w:t>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vertAlign w:val="superscript"/>
        </w:rPr>
        <w:t>1/</w:t>
      </w:r>
      <w:r>
        <w:rPr>
          <w:rFonts w:hint="eastAsia" w:ascii="仿宋_GB2312" w:eastAsia="仿宋_GB2312" w:cs="仿宋_GB2312"/>
          <w:color w:val="000000"/>
          <w:kern w:val="0"/>
          <w:sz w:val="32"/>
          <w:szCs w:val="32"/>
          <w:vertAlign w:val="superscript"/>
        </w:rPr>
        <w:t>创建周期</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）单位工业增加值废水排放量（必选）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指标解释：指园区单位工业增加值排放的工业废水量，不包括企业梯级利用的废水和园区内居民排放的生活废水。</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计算公式：单位工业增加值废水排放量（</w:t>
      </w:r>
      <w:r>
        <w:rPr>
          <w:rFonts w:ascii="仿宋_GB2312" w:eastAsia="仿宋_GB2312" w:cs="仿宋_GB2312"/>
          <w:color w:val="000000"/>
          <w:kern w:val="0"/>
          <w:sz w:val="32"/>
          <w:szCs w:val="32"/>
        </w:rPr>
        <w:t>t/</w:t>
      </w:r>
      <w:r>
        <w:rPr>
          <w:rFonts w:hint="eastAsia" w:ascii="仿宋_GB2312" w:eastAsia="仿宋_GB2312" w:cs="仿宋_GB2312"/>
          <w:color w:val="000000"/>
          <w:kern w:val="0"/>
          <w:sz w:val="32"/>
          <w:szCs w:val="32"/>
        </w:rPr>
        <w:t>万元）</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园区工业废水排放总量（</w:t>
      </w:r>
      <w:r>
        <w:rPr>
          <w:rFonts w:ascii="仿宋_GB2312" w:eastAsia="仿宋_GB2312" w:cs="仿宋_GB2312"/>
          <w:color w:val="000000"/>
          <w:kern w:val="0"/>
          <w:sz w:val="32"/>
          <w:szCs w:val="32"/>
        </w:rPr>
        <w:t>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园区工业增加值总量（万元）。</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）主要污染物弹性系数（必选）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指标解释：指园区内工业企业排放的各类主要污染物排放弹性系数的算术平均值。其中，主要污染物指从创建基准年到验收年，国家政策明确要求总量减排和控制的污染物，包括</w:t>
      </w:r>
      <w:r>
        <w:rPr>
          <w:rFonts w:ascii="仿宋_GB2312" w:eastAsia="仿宋_GB2312" w:cs="仿宋_GB2312"/>
          <w:color w:val="000000"/>
          <w:kern w:val="0"/>
          <w:sz w:val="32"/>
          <w:szCs w:val="32"/>
        </w:rPr>
        <w:t>COD</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SO</w:t>
      </w:r>
      <w:r>
        <w:rPr>
          <w:rFonts w:ascii="仿宋_GB2312" w:eastAsia="仿宋_GB2312" w:cs="仿宋_GB2312"/>
          <w:color w:val="000000"/>
          <w:kern w:val="0"/>
          <w:sz w:val="32"/>
          <w:szCs w:val="32"/>
          <w:vertAlign w:val="subscript"/>
        </w:rPr>
        <w:t>2</w:t>
      </w:r>
      <w:r>
        <w:rPr>
          <w:rFonts w:hint="eastAsia" w:ascii="仿宋_GB2312" w:eastAsia="仿宋_GB2312" w:cs="仿宋_GB2312"/>
          <w:color w:val="000000"/>
          <w:kern w:val="0"/>
          <w:sz w:val="32"/>
          <w:szCs w:val="32"/>
        </w:rPr>
        <w:t>、氨氮、</w:t>
      </w:r>
      <w:r>
        <w:rPr>
          <w:rFonts w:ascii="仿宋_GB2312" w:eastAsia="仿宋_GB2312" w:cs="仿宋_GB2312"/>
          <w:color w:val="000000"/>
          <w:kern w:val="0"/>
          <w:sz w:val="32"/>
          <w:szCs w:val="32"/>
        </w:rPr>
        <w:t>NO</w:t>
      </w:r>
      <w:r>
        <w:rPr>
          <w:rFonts w:ascii="仿宋_GB2312" w:eastAsia="仿宋_GB2312" w:cs="仿宋_GB2312"/>
          <w:color w:val="000000"/>
          <w:kern w:val="0"/>
          <w:sz w:val="32"/>
          <w:szCs w:val="32"/>
          <w:vertAlign w:val="subscript"/>
        </w:rPr>
        <w:t>X</w:t>
      </w:r>
      <w:r>
        <w:rPr>
          <w:rFonts w:hint="eastAsia" w:ascii="仿宋_GB2312" w:eastAsia="仿宋_GB2312" w:cs="仿宋_GB2312"/>
          <w:color w:val="000000"/>
          <w:kern w:val="0"/>
          <w:sz w:val="32"/>
          <w:szCs w:val="32"/>
        </w:rPr>
        <w:t>等。某种主要污染物排放弹性系数，指园区内工业企业排放的某一种主要污染物排放总量的三年年均增长率与工业增加值三年年均增长率的比值。</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计算公式：某种污染物排放弹性系数</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某种污染物排放量创建周期年均增长率（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园区工业增加值创建周期年均增长率（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）；主要污染物排放弹性系数</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主要污染物排放弹性系数之和</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污染物个数。</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）园区空气质量优良率（必选）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指标解释：指空气质量优良天数占全年天数的比例。空气质量优良等级按照</w:t>
      </w:r>
      <w:r>
        <w:rPr>
          <w:rFonts w:ascii="仿宋_GB2312" w:eastAsia="仿宋_GB2312" w:cs="仿宋_GB2312"/>
          <w:color w:val="000000"/>
          <w:kern w:val="0"/>
          <w:sz w:val="32"/>
          <w:szCs w:val="32"/>
        </w:rPr>
        <w:t>GB3085</w:t>
      </w:r>
      <w:r>
        <w:rPr>
          <w:rFonts w:hint="eastAsia" w:ascii="仿宋_GB2312" w:eastAsia="仿宋_GB2312" w:cs="仿宋_GB2312"/>
          <w:color w:val="000000"/>
          <w:kern w:val="0"/>
          <w:sz w:val="32"/>
          <w:szCs w:val="32"/>
        </w:rPr>
        <w:t>《环境空气质量标准》确定。</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）绿化覆盖率（可选）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指标解释：园区内各类绿地总面积与园区规划范围内用地总面积的比值。</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计算公式：绿色覆盖率（</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园区内各类绿地总面积（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园区用地总面积（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7</w:t>
      </w:r>
      <w:r>
        <w:rPr>
          <w:rFonts w:hint="eastAsia" w:ascii="仿宋_GB2312" w:eastAsia="仿宋_GB2312" w:cs="仿宋_GB2312"/>
          <w:color w:val="000000"/>
          <w:kern w:val="0"/>
          <w:sz w:val="32"/>
          <w:szCs w:val="32"/>
        </w:rPr>
        <w:t>）道路遮荫比例（可选）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指标解释：指道路两旁树冠垂直投影遮蔽的总阴影面积与步行道路总面积的比值。</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计算公式：道路遮荫比例（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道路两旁树冠垂直投影遮蔽的总阴影面积（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步行道路总面积（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8</w:t>
      </w:r>
      <w:r>
        <w:rPr>
          <w:rFonts w:hint="eastAsia" w:ascii="仿宋_GB2312" w:eastAsia="仿宋_GB2312" w:cs="仿宋_GB2312"/>
          <w:color w:val="000000"/>
          <w:kern w:val="0"/>
          <w:sz w:val="32"/>
          <w:szCs w:val="32"/>
        </w:rPr>
        <w:t>）露天停车场遮荫比例（可选）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指标解释：指露天停车场树冠垂直投影遮蔽的总阴影面积与露天停车场总面积的比值。</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计算公式：露天停车场遮荫比例（</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露天停车场树冠垂直投影遮蔽的总阴影面积（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w:t>
      </w:r>
      <w:r>
        <w:rPr>
          <w:rFonts w:hint="eastAsia" w:ascii="仿宋_GB2312" w:eastAsia="仿宋_GB2312" w:cs="仿宋_GB2312"/>
          <w:color w:val="000000"/>
          <w:kern w:val="0"/>
          <w:sz w:val="32"/>
          <w:szCs w:val="32"/>
        </w:rPr>
        <w:t>露天停车场总面积（</w:t>
      </w:r>
      <w:r>
        <w:rPr>
          <w:rFonts w:ascii="仿宋_GB2312" w:eastAsia="仿宋_GB2312" w:cs="仿宋_GB2312"/>
          <w:color w:val="000000"/>
          <w:kern w:val="0"/>
          <w:sz w:val="32"/>
          <w:szCs w:val="32"/>
        </w:rPr>
        <w:t>m</w:t>
      </w:r>
      <w:r>
        <w:rPr>
          <w:rFonts w:ascii="仿宋_GB2312" w:eastAsia="仿宋_GB2312" w:cs="仿宋_GB2312"/>
          <w:color w:val="000000"/>
          <w:kern w:val="0"/>
          <w:sz w:val="32"/>
          <w:szCs w:val="32"/>
          <w:vertAlign w:val="superscript"/>
        </w:rPr>
        <w:t>2</w:t>
      </w:r>
      <w:r>
        <w:rPr>
          <w:rFonts w:hint="eastAsia" w:ascii="仿宋_GB2312" w:eastAsia="仿宋_GB2312" w:cs="仿宋_GB2312"/>
          <w:color w:val="000000"/>
          <w:kern w:val="0"/>
          <w:sz w:val="32"/>
          <w:szCs w:val="32"/>
        </w:rPr>
        <w:t>）</w:t>
      </w:r>
      <w:r>
        <w:rPr>
          <w:rFonts w:hint="eastAsia" w:ascii="仿宋_GB2312" w:hAnsi="Cambria" w:eastAsia="仿宋_GB2312" w:cs="仿宋_GB2312"/>
          <w:color w:val="000000"/>
          <w:kern w:val="0"/>
          <w:sz w:val="32"/>
          <w:szCs w:val="32"/>
        </w:rPr>
        <w:t>×</w:t>
      </w:r>
      <w:r>
        <w:rPr>
          <w:rFonts w:ascii="仿宋_GB2312" w:eastAsia="仿宋_GB2312" w:cs="仿宋_GB2312"/>
          <w:color w:val="000000"/>
          <w:kern w:val="0"/>
          <w:sz w:val="32"/>
          <w:szCs w:val="32"/>
        </w:rPr>
        <w:t>100%</w:t>
      </w:r>
      <w:r>
        <w:rPr>
          <w:rFonts w:hint="eastAsia" w:ascii="仿宋_GB2312" w:eastAsia="仿宋_GB2312" w:cs="仿宋_GB2312"/>
          <w:color w:val="000000"/>
          <w:kern w:val="0"/>
          <w:sz w:val="32"/>
          <w:szCs w:val="32"/>
        </w:rPr>
        <w:t>。</w:t>
      </w:r>
    </w:p>
    <w:p>
      <w:pPr>
        <w:autoSpaceDE w:val="0"/>
        <w:autoSpaceDN w:val="0"/>
        <w:adjustRightInd w:val="0"/>
        <w:spacing w:line="360" w:lineRule="auto"/>
        <w:ind w:firstLine="643" w:firstLineChars="200"/>
        <w:rPr>
          <w:rFonts w:ascii="仿宋_GB2312" w:eastAsia="仿宋_GB2312" w:cs="Times New Roman"/>
          <w:b/>
          <w:bCs/>
          <w:color w:val="000000"/>
          <w:kern w:val="0"/>
          <w:sz w:val="32"/>
          <w:szCs w:val="32"/>
        </w:rPr>
      </w:pPr>
      <w:r>
        <w:rPr>
          <w:rFonts w:ascii="仿宋_GB2312" w:eastAsia="仿宋_GB2312" w:cs="仿宋_GB2312"/>
          <w:b/>
          <w:bCs/>
          <w:color w:val="000000"/>
          <w:kern w:val="0"/>
          <w:sz w:val="32"/>
          <w:szCs w:val="32"/>
        </w:rPr>
        <w:t>6.</w:t>
      </w:r>
      <w:r>
        <w:rPr>
          <w:rFonts w:hint="eastAsia" w:ascii="仿宋_GB2312" w:eastAsia="仿宋_GB2312" w:cs="仿宋_GB2312"/>
          <w:b/>
          <w:bCs/>
          <w:color w:val="000000"/>
          <w:kern w:val="0"/>
          <w:sz w:val="32"/>
          <w:szCs w:val="32"/>
        </w:rPr>
        <w:t>运行管理绿色化指标（</w:t>
      </w:r>
      <w:r>
        <w:rPr>
          <w:rFonts w:ascii="仿宋_GB2312" w:eastAsia="仿宋_GB2312" w:cs="仿宋_GB2312"/>
          <w:b/>
          <w:bCs/>
          <w:color w:val="000000"/>
          <w:kern w:val="0"/>
          <w:sz w:val="32"/>
          <w:szCs w:val="32"/>
        </w:rPr>
        <w:t>3</w:t>
      </w:r>
      <w:r>
        <w:rPr>
          <w:rFonts w:hint="eastAsia" w:ascii="仿宋_GB2312" w:eastAsia="仿宋_GB2312" w:cs="仿宋_GB2312"/>
          <w:b/>
          <w:bCs/>
          <w:color w:val="000000"/>
          <w:kern w:val="0"/>
          <w:sz w:val="32"/>
          <w:szCs w:val="32"/>
        </w:rPr>
        <w:t>个必选指标）</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运行管理绿色化指标包括绿色园区标准体系完善程度、编制绿色园区发展规划、绿色园区信息平台完善程度</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个必选指标。</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）绿色园区标准体系完善程度（必选）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主要考核是否建立与其产业链和主导产业相适应的绿色园区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）编制绿色园区发展规划（必选）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指标解释：按照本实施方案的创建内容编制绿色园区发展规划，原则上每五年编制一次。</w:t>
      </w:r>
    </w:p>
    <w:p>
      <w:pPr>
        <w:pStyle w:val="22"/>
        <w:widowControl w:val="0"/>
        <w:tabs>
          <w:tab w:val="left" w:pos="1418"/>
        </w:tabs>
        <w:autoSpaceDE w:val="0"/>
        <w:autoSpaceDN w:val="0"/>
        <w:adjustRightInd w:val="0"/>
        <w:spacing w:line="360" w:lineRule="auto"/>
        <w:ind w:left="619" w:firstLine="0" w:firstLineChars="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）绿色园区信息平台完善程度（必选）</w:t>
      </w:r>
    </w:p>
    <w:p>
      <w:pPr>
        <w:autoSpaceDE w:val="0"/>
        <w:autoSpaceDN w:val="0"/>
        <w:adjustRightInd w:val="0"/>
        <w:spacing w:line="360" w:lineRule="auto"/>
        <w:ind w:firstLine="566" w:firstLineChars="177"/>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指标解释：主要考核是否创建局域网；是否定期在园区管委会网站、局域网或相关网站上发布绿色园区建设和改造信息；是否在园区局域网上有园区主导行业清洁生产技术信息（主要包括原材料选择、节水、节能、环保等方面）、废物资源化技术信息、绿色建筑技术信息、绿色交通技术信息等。</w:t>
      </w:r>
    </w:p>
    <w:p>
      <w:pPr>
        <w:autoSpaceDE w:val="0"/>
        <w:autoSpaceDN w:val="0"/>
        <w:adjustRightInd w:val="0"/>
        <w:snapToGrid w:val="0"/>
        <w:spacing w:line="360" w:lineRule="auto"/>
        <w:ind w:firstLine="643" w:firstLineChars="200"/>
        <w:outlineLvl w:val="1"/>
        <w:rPr>
          <w:rFonts w:ascii="楷体" w:hAnsi="楷体" w:eastAsia="楷体" w:cs="Times New Roman"/>
          <w:b/>
          <w:bCs/>
          <w:color w:val="000000"/>
          <w:kern w:val="0"/>
          <w:sz w:val="32"/>
          <w:szCs w:val="32"/>
        </w:rPr>
      </w:pPr>
      <w:r>
        <w:rPr>
          <w:rFonts w:hint="eastAsia" w:ascii="楷体" w:hAnsi="楷体" w:eastAsia="楷体" w:cs="楷体"/>
          <w:b/>
          <w:bCs/>
          <w:color w:val="000000"/>
          <w:kern w:val="0"/>
          <w:sz w:val="32"/>
          <w:szCs w:val="32"/>
        </w:rPr>
        <w:t>（三）评价方式</w:t>
      </w:r>
    </w:p>
    <w:p>
      <w:pPr>
        <w:autoSpaceDE w:val="0"/>
        <w:autoSpaceDN w:val="0"/>
        <w:adjustRightIn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创建单位应根据表</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的评分要求开展自评价，经自评到达要求分数后，委托国家或省级工业节能与绿色发展评价中心名单中机构开展第三方评价。</w:t>
      </w:r>
    </w:p>
    <w:p>
      <w:pPr>
        <w:autoSpaceDE w:val="0"/>
        <w:autoSpaceDN w:val="0"/>
        <w:adjustRightInd w:val="0"/>
        <w:spacing w:line="360" w:lineRule="auto"/>
        <w:ind w:firstLine="640" w:firstLineChars="200"/>
        <w:rPr>
          <w:rFonts w:ascii="仿宋_GB2312" w:eastAsia="仿宋_GB2312" w:cs="Times New Roman"/>
          <w:color w:val="000000"/>
          <w:kern w:val="0"/>
          <w:sz w:val="32"/>
          <w:szCs w:val="32"/>
        </w:rPr>
      </w:pPr>
      <w:r>
        <w:rPr>
          <w:rFonts w:hint="eastAsia" w:ascii="仿宋_GB2312" w:eastAsia="仿宋_GB2312" w:cs="仿宋_GB2312"/>
          <w:color w:val="000000"/>
          <w:kern w:val="0"/>
          <w:sz w:val="32"/>
          <w:szCs w:val="32"/>
        </w:rPr>
        <w:t>绿色园区自评报告参考格式见附3</w:t>
      </w: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。绿色园区第三方评价报告参考格式见附3</w:t>
      </w: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w:t>
      </w:r>
    </w:p>
    <w:p>
      <w:pPr>
        <w:spacing w:line="360" w:lineRule="auto"/>
        <w:rPr>
          <w:rFonts w:cs="Times New Roman"/>
          <w:color w:val="000000"/>
          <w:sz w:val="32"/>
          <w:szCs w:val="32"/>
        </w:rPr>
      </w:pPr>
    </w:p>
    <w:p>
      <w:pPr>
        <w:spacing w:line="360" w:lineRule="auto"/>
        <w:rPr>
          <w:rFonts w:cs="Times New Roman"/>
          <w:color w:val="000000"/>
        </w:rPr>
        <w:sectPr>
          <w:pgSz w:w="11906" w:h="16838"/>
          <w:pgMar w:top="1440" w:right="1800" w:bottom="1440" w:left="1800" w:header="851" w:footer="992" w:gutter="0"/>
          <w:pgNumType w:fmt="numberInDash"/>
          <w:cols w:space="720" w:num="1"/>
          <w:docGrid w:type="lines" w:linePitch="312" w:charSpace="0"/>
        </w:sectPr>
      </w:pPr>
    </w:p>
    <w:p>
      <w:pPr>
        <w:rPr>
          <w:rFonts w:ascii="黑体" w:hAnsi="黑体" w:eastAsia="黑体" w:cs="黑体"/>
          <w:color w:val="000000"/>
          <w:sz w:val="32"/>
          <w:szCs w:val="32"/>
        </w:rPr>
      </w:pPr>
      <w:r>
        <w:rPr>
          <w:rFonts w:hint="eastAsia" w:ascii="黑体" w:hAnsi="黑体" w:eastAsia="黑体" w:cs="黑体"/>
          <w:color w:val="000000"/>
          <w:sz w:val="32"/>
          <w:szCs w:val="32"/>
        </w:rPr>
        <w:t>附3</w:t>
      </w:r>
      <w:r>
        <w:rPr>
          <w:rFonts w:ascii="黑体" w:hAnsi="黑体" w:eastAsia="黑体" w:cs="黑体"/>
          <w:color w:val="000000"/>
          <w:sz w:val="32"/>
          <w:szCs w:val="32"/>
        </w:rPr>
        <w:t>-1</w:t>
      </w:r>
    </w:p>
    <w:p>
      <w:pPr>
        <w:spacing w:line="360" w:lineRule="auto"/>
        <w:rPr>
          <w:rFonts w:cs="Times New Roman"/>
          <w:color w:val="000000"/>
        </w:rPr>
      </w:pPr>
    </w:p>
    <w:p>
      <w:pPr>
        <w:spacing w:line="360" w:lineRule="auto"/>
        <w:rPr>
          <w:rFonts w:cs="Times New Roman"/>
          <w:color w:val="000000"/>
          <w:sz w:val="30"/>
          <w:szCs w:val="30"/>
        </w:rPr>
      </w:pPr>
    </w:p>
    <w:p>
      <w:pPr>
        <w:spacing w:line="360" w:lineRule="auto"/>
        <w:rPr>
          <w:rFonts w:cs="Times New Roman"/>
          <w:color w:val="000000"/>
          <w:sz w:val="28"/>
          <w:szCs w:val="28"/>
        </w:rPr>
      </w:pPr>
    </w:p>
    <w:p>
      <w:pPr>
        <w:spacing w:line="360" w:lineRule="auto"/>
        <w:rPr>
          <w:rFonts w:cs="Times New Roman"/>
          <w:color w:val="000000"/>
          <w:sz w:val="28"/>
          <w:szCs w:val="28"/>
        </w:rPr>
      </w:pPr>
    </w:p>
    <w:p>
      <w:pPr>
        <w:spacing w:line="360" w:lineRule="auto"/>
        <w:jc w:val="center"/>
        <w:outlineLvl w:val="0"/>
        <w:rPr>
          <w:rFonts w:ascii="黑体" w:hAnsi="黑体" w:eastAsia="黑体" w:cs="Times New Roman"/>
          <w:color w:val="000000"/>
          <w:sz w:val="52"/>
          <w:szCs w:val="52"/>
        </w:rPr>
      </w:pPr>
      <w:r>
        <w:rPr>
          <w:rFonts w:hint="eastAsia" w:ascii="黑体" w:hAnsi="黑体" w:eastAsia="黑体" w:cs="黑体"/>
          <w:color w:val="000000"/>
          <w:sz w:val="52"/>
          <w:szCs w:val="52"/>
        </w:rPr>
        <w:t>绿色园区自评价报告</w:t>
      </w:r>
    </w:p>
    <w:p>
      <w:pPr>
        <w:spacing w:line="360" w:lineRule="auto"/>
        <w:rPr>
          <w:rFonts w:ascii="Times New Roman" w:hAnsi="Times New Roman" w:cs="Times New Roman"/>
          <w:b/>
          <w:bCs/>
          <w:color w:val="000000"/>
          <w:sz w:val="52"/>
          <w:szCs w:val="52"/>
        </w:rPr>
      </w:pPr>
    </w:p>
    <w:p>
      <w:pPr>
        <w:spacing w:line="360" w:lineRule="auto"/>
        <w:rPr>
          <w:rFonts w:ascii="Times New Roman" w:hAnsi="Times New Roman" w:cs="Times New Roman"/>
          <w:b/>
          <w:bCs/>
          <w:color w:val="000000"/>
          <w:sz w:val="52"/>
          <w:szCs w:val="52"/>
        </w:rPr>
      </w:pPr>
    </w:p>
    <w:p>
      <w:pPr>
        <w:spacing w:line="360" w:lineRule="auto"/>
        <w:rPr>
          <w:rFonts w:ascii="Times New Roman" w:hAnsi="Times New Roman" w:cs="Times New Roman"/>
          <w:b/>
          <w:bCs/>
          <w:color w:val="000000"/>
          <w:sz w:val="52"/>
          <w:szCs w:val="52"/>
        </w:rPr>
      </w:pPr>
    </w:p>
    <w:p>
      <w:pPr>
        <w:spacing w:line="360" w:lineRule="auto"/>
        <w:rPr>
          <w:rFonts w:ascii="Times New Roman" w:hAnsi="Times New Roman" w:cs="Times New Roman"/>
          <w:b/>
          <w:bCs/>
          <w:color w:val="000000"/>
          <w:sz w:val="52"/>
          <w:szCs w:val="52"/>
        </w:rPr>
      </w:pPr>
    </w:p>
    <w:p>
      <w:pPr>
        <w:spacing w:line="360" w:lineRule="auto"/>
        <w:rPr>
          <w:rFonts w:ascii="仿宋_GB2312" w:hAnsi="仿宋_GB2312" w:eastAsia="仿宋_GB2312" w:cs="Times New Roman"/>
          <w:b/>
          <w:bCs/>
          <w:color w:val="000000"/>
          <w:sz w:val="52"/>
          <w:szCs w:val="52"/>
        </w:rPr>
      </w:pPr>
    </w:p>
    <w:p>
      <w:pPr>
        <w:spacing w:line="360" w:lineRule="auto"/>
        <w:rPr>
          <w:rFonts w:ascii="仿宋_GB2312" w:hAnsi="仿宋_GB2312" w:eastAsia="仿宋_GB2312" w:cs="Times New Roman"/>
          <w:color w:val="000000"/>
          <w:sz w:val="30"/>
          <w:szCs w:val="30"/>
          <w:u w:val="single"/>
        </w:rPr>
      </w:pPr>
      <w:r>
        <w:rPr>
          <w:rFonts w:hint="eastAsia" w:ascii="仿宋_GB2312" w:hAnsi="仿宋_GB2312" w:eastAsia="仿宋_GB2312" w:cs="仿宋_GB2312"/>
          <w:color w:val="000000"/>
          <w:sz w:val="30"/>
          <w:szCs w:val="30"/>
        </w:rPr>
        <w:t>申报单位：</w:t>
      </w:r>
      <w:r>
        <w:rPr>
          <w:rFonts w:hint="eastAsia" w:ascii="仿宋_GB2312" w:hAnsi="仿宋_GB2312" w:eastAsia="仿宋_GB2312" w:cs="仿宋_GB2312"/>
          <w:color w:val="000000"/>
          <w:sz w:val="30"/>
          <w:szCs w:val="30"/>
          <w:u w:val="single"/>
        </w:rPr>
        <w:t xml:space="preserve">                                </w:t>
      </w:r>
    </w:p>
    <w:p>
      <w:pPr>
        <w:spacing w:line="360" w:lineRule="auto"/>
        <w:rPr>
          <w:rFonts w:ascii="仿宋_GB2312" w:hAnsi="仿宋_GB2312" w:eastAsia="仿宋_GB2312" w:cs="Times New Roman"/>
          <w:color w:val="000000"/>
          <w:sz w:val="30"/>
          <w:szCs w:val="30"/>
          <w:u w:val="single"/>
        </w:rPr>
      </w:pPr>
    </w:p>
    <w:p>
      <w:pPr>
        <w:spacing w:line="360" w:lineRule="auto"/>
        <w:rPr>
          <w:rFonts w:ascii="仿宋_GB2312" w:hAnsi="仿宋_GB2312" w:eastAsia="仿宋_GB2312" w:cs="Times New Roman"/>
          <w:color w:val="000000"/>
          <w:sz w:val="30"/>
          <w:szCs w:val="30"/>
          <w:u w:val="single"/>
        </w:rPr>
      </w:pPr>
      <w:r>
        <w:rPr>
          <w:rFonts w:hint="eastAsia" w:ascii="仿宋_GB2312" w:hAnsi="仿宋_GB2312" w:eastAsia="仿宋_GB2312" w:cs="仿宋_GB2312"/>
          <w:color w:val="000000"/>
          <w:sz w:val="30"/>
          <w:szCs w:val="30"/>
        </w:rPr>
        <w:t>所在地区：</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 xml:space="preserve">      </w:t>
      </w:r>
    </w:p>
    <w:p>
      <w:pPr>
        <w:spacing w:line="360" w:lineRule="auto"/>
        <w:rPr>
          <w:rFonts w:cs="Times New Roman"/>
          <w:color w:val="000000"/>
          <w:sz w:val="30"/>
          <w:szCs w:val="30"/>
        </w:rPr>
      </w:pPr>
    </w:p>
    <w:p>
      <w:pPr>
        <w:spacing w:line="360" w:lineRule="auto"/>
        <w:rPr>
          <w:rFonts w:cs="Times New Roman"/>
          <w:color w:val="000000"/>
          <w:sz w:val="30"/>
          <w:szCs w:val="30"/>
        </w:rPr>
      </w:pPr>
    </w:p>
    <w:p>
      <w:pPr>
        <w:spacing w:line="360" w:lineRule="auto"/>
        <w:rPr>
          <w:rFonts w:cs="Times New Roman"/>
          <w:color w:val="000000"/>
          <w:sz w:val="30"/>
          <w:szCs w:val="30"/>
        </w:rPr>
      </w:pPr>
    </w:p>
    <w:p>
      <w:pPr>
        <w:spacing w:line="360" w:lineRule="auto"/>
        <w:rPr>
          <w:rFonts w:cs="Times New Roman"/>
          <w:color w:val="000000"/>
          <w:sz w:val="30"/>
          <w:szCs w:val="30"/>
        </w:rPr>
      </w:pPr>
    </w:p>
    <w:p>
      <w:pPr>
        <w:spacing w:line="360" w:lineRule="auto"/>
        <w:jc w:val="center"/>
        <w:rPr>
          <w:rFonts w:ascii="仿宋" w:hAnsi="仿宋" w:eastAsia="仿宋" w:cs="Times New Roman"/>
          <w:color w:val="000000"/>
          <w:sz w:val="30"/>
          <w:szCs w:val="30"/>
        </w:rPr>
      </w:pPr>
      <w:r>
        <w:rPr>
          <w:rFonts w:ascii="仿宋_GB2312" w:hAnsi="仿宋_GB2312" w:eastAsia="仿宋_GB2312" w:cs="仿宋_GB2312"/>
          <w:color w:val="000000"/>
          <w:sz w:val="30"/>
          <w:szCs w:val="30"/>
        </w:rPr>
        <w:t xml:space="preserve">20  </w:t>
      </w:r>
      <w:r>
        <w:rPr>
          <w:rFonts w:hint="eastAsia" w:ascii="仿宋_GB2312" w:hAnsi="仿宋_GB2312" w:eastAsia="仿宋_GB2312" w:cs="仿宋_GB2312"/>
          <w:color w:val="000000"/>
          <w:sz w:val="30"/>
          <w:szCs w:val="30"/>
        </w:rPr>
        <w:t>年   月   日</w:t>
      </w:r>
    </w:p>
    <w:p>
      <w:pPr>
        <w:spacing w:line="360" w:lineRule="auto"/>
        <w:rPr>
          <w:rFonts w:ascii="Times New Roman" w:hAnsi="Times New Roman" w:cs="Times New Roman"/>
          <w:b/>
          <w:bCs/>
          <w:color w:val="000000"/>
          <w:sz w:val="30"/>
          <w:szCs w:val="30"/>
        </w:rPr>
        <w:sectPr>
          <w:pgSz w:w="11906" w:h="16838"/>
          <w:pgMar w:top="1440" w:right="1800" w:bottom="1440" w:left="1800" w:header="851" w:footer="992" w:gutter="0"/>
          <w:pgNumType w:fmt="numberInDash"/>
          <w:cols w:space="720" w:num="1"/>
          <w:docGrid w:type="lines" w:linePitch="312" w:charSpace="0"/>
        </w:sectPr>
      </w:pPr>
    </w:p>
    <w:p>
      <w:pPr>
        <w:spacing w:line="360" w:lineRule="auto"/>
        <w:rPr>
          <w:rFonts w:cs="Times New Roman"/>
          <w:b/>
          <w:bCs/>
          <w:color w:val="000000"/>
          <w:sz w:val="30"/>
          <w:szCs w:val="30"/>
        </w:rPr>
      </w:pPr>
    </w:p>
    <w:p>
      <w:pPr>
        <w:spacing w:line="360" w:lineRule="auto"/>
        <w:jc w:val="center"/>
        <w:rPr>
          <w:rFonts w:ascii="Times New Roman" w:hAnsi="Times New Roman" w:eastAsia="黑体" w:cs="Times New Roman"/>
          <w:color w:val="000000"/>
          <w:sz w:val="48"/>
          <w:szCs w:val="48"/>
        </w:rPr>
      </w:pPr>
      <w:r>
        <w:rPr>
          <w:rFonts w:hint="eastAsia" w:ascii="Times New Roman" w:hAnsi="Times New Roman" w:eastAsia="黑体" w:cs="黑体"/>
          <w:color w:val="000000"/>
          <w:sz w:val="48"/>
          <w:szCs w:val="48"/>
        </w:rPr>
        <w:t>填写说明</w:t>
      </w:r>
    </w:p>
    <w:p>
      <w:pPr>
        <w:spacing w:line="360" w:lineRule="auto"/>
        <w:jc w:val="center"/>
        <w:rPr>
          <w:rFonts w:ascii="仿宋_GB2312" w:eastAsia="仿宋_GB2312" w:cs="Times New Roman"/>
          <w:b/>
          <w:bCs/>
          <w:color w:val="000000"/>
          <w:sz w:val="30"/>
          <w:szCs w:val="30"/>
        </w:rPr>
      </w:pPr>
    </w:p>
    <w:p>
      <w:pPr>
        <w:tabs>
          <w:tab w:val="left" w:pos="600"/>
          <w:tab w:val="left" w:pos="1152"/>
        </w:tabs>
        <w:spacing w:line="580" w:lineRule="exact"/>
        <w:ind w:firstLine="566" w:firstLineChars="177"/>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一、申请园区应当准确、如实填报。</w:t>
      </w:r>
    </w:p>
    <w:p>
      <w:pPr>
        <w:tabs>
          <w:tab w:val="left" w:pos="600"/>
          <w:tab w:val="left" w:pos="1152"/>
        </w:tabs>
        <w:spacing w:line="580" w:lineRule="exact"/>
        <w:ind w:firstLine="566" w:firstLineChars="177"/>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二、园区类型主要包括经济技术开发区、高新技术产业开发区、保税区、边境经济合作区、出口加工区、保税港区、新区、自贸区、省级开发区等。</w:t>
      </w:r>
    </w:p>
    <w:p>
      <w:pPr>
        <w:tabs>
          <w:tab w:val="left" w:pos="600"/>
          <w:tab w:val="left" w:pos="1152"/>
        </w:tabs>
        <w:spacing w:line="580" w:lineRule="exact"/>
        <w:ind w:firstLine="566" w:firstLineChars="177"/>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三、有关项目页面不够时，可加附页。</w:t>
      </w:r>
    </w:p>
    <w:p>
      <w:pPr>
        <w:tabs>
          <w:tab w:val="left" w:pos="600"/>
          <w:tab w:val="left" w:pos="1152"/>
        </w:tabs>
        <w:spacing w:line="580" w:lineRule="exact"/>
        <w:ind w:firstLine="566" w:firstLineChars="177"/>
        <w:rPr>
          <w:rFonts w:ascii="Times New Roman" w:hAnsi="Times New Roman" w:eastAsia="仿宋_GB2312" w:cs="Times New Roman"/>
          <w:color w:val="000000"/>
          <w:kern w:val="0"/>
          <w:sz w:val="32"/>
          <w:szCs w:val="32"/>
        </w:rPr>
      </w:pPr>
      <w:r>
        <w:rPr>
          <w:rFonts w:hint="eastAsia" w:ascii="Times New Roman" w:hAnsi="Times New Roman" w:eastAsia="仿宋_GB2312" w:cs="仿宋_GB2312"/>
          <w:color w:val="000000"/>
          <w:kern w:val="0"/>
          <w:sz w:val="32"/>
          <w:szCs w:val="32"/>
        </w:rPr>
        <w:t>四、自评价报告应按照规定格式填写，并使用</w:t>
      </w:r>
      <w:r>
        <w:rPr>
          <w:rFonts w:ascii="Times New Roman" w:hAnsi="Times New Roman" w:eastAsia="仿宋_GB2312" w:cs="Times New Roman"/>
          <w:color w:val="000000"/>
          <w:kern w:val="0"/>
          <w:sz w:val="32"/>
          <w:szCs w:val="32"/>
        </w:rPr>
        <w:t>A4</w:t>
      </w:r>
      <w:r>
        <w:rPr>
          <w:rFonts w:hint="eastAsia" w:ascii="Times New Roman" w:hAnsi="Times New Roman" w:eastAsia="仿宋_GB2312" w:cs="仿宋_GB2312"/>
          <w:color w:val="000000"/>
          <w:kern w:val="0"/>
          <w:sz w:val="32"/>
          <w:szCs w:val="32"/>
        </w:rPr>
        <w:t>纸打印装订。</w:t>
      </w:r>
    </w:p>
    <w:p>
      <w:pPr>
        <w:spacing w:line="360" w:lineRule="auto"/>
        <w:jc w:val="center"/>
        <w:rPr>
          <w:rFonts w:ascii="仿宋_GB2312" w:eastAsia="仿宋_GB2312" w:cs="Times New Roman"/>
          <w:b/>
          <w:bCs/>
          <w:color w:val="000000"/>
          <w:sz w:val="32"/>
          <w:szCs w:val="32"/>
        </w:rPr>
      </w:pPr>
      <w:r>
        <w:rPr>
          <w:rFonts w:ascii="仿宋_GB2312" w:eastAsia="仿宋_GB2312" w:cs="Times New Roman"/>
          <w:color w:val="000000"/>
          <w:sz w:val="30"/>
          <w:szCs w:val="30"/>
        </w:rPr>
        <w:br w:type="page"/>
      </w:r>
      <w:r>
        <w:rPr>
          <w:rFonts w:hint="eastAsia" w:ascii="黑体" w:hAnsi="黑体" w:eastAsia="黑体" w:cs="黑体"/>
          <w:color w:val="000000"/>
          <w:sz w:val="32"/>
          <w:szCs w:val="32"/>
        </w:rPr>
        <w:t>基本信息表</w:t>
      </w:r>
    </w:p>
    <w:tbl>
      <w:tblPr>
        <w:tblW w:w="83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73"/>
        <w:gridCol w:w="2971"/>
        <w:gridCol w:w="127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园区名称</w:t>
            </w:r>
          </w:p>
        </w:tc>
        <w:tc>
          <w:tcPr>
            <w:tcW w:w="6361" w:type="dxa"/>
            <w:gridSpan w:val="3"/>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园区级别</w:t>
            </w:r>
          </w:p>
        </w:tc>
        <w:tc>
          <w:tcPr>
            <w:tcW w:w="2971" w:type="dxa"/>
            <w:vAlign w:val="center"/>
          </w:tcPr>
          <w:p>
            <w:pPr>
              <w:pStyle w:val="23"/>
              <w:spacing w:line="360" w:lineRule="auto"/>
              <w:ind w:firstLine="0" w:firstLineChars="0"/>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 xml:space="preserve">  □国家级     □省级</w:t>
            </w:r>
          </w:p>
        </w:tc>
        <w:tc>
          <w:tcPr>
            <w:tcW w:w="1275"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园区类型</w:t>
            </w:r>
          </w:p>
        </w:tc>
        <w:tc>
          <w:tcPr>
            <w:tcW w:w="2115" w:type="dxa"/>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通讯地址</w:t>
            </w:r>
          </w:p>
        </w:tc>
        <w:tc>
          <w:tcPr>
            <w:tcW w:w="2971" w:type="dxa"/>
            <w:vAlign w:val="center"/>
          </w:tcPr>
          <w:p>
            <w:pPr>
              <w:spacing w:line="360" w:lineRule="auto"/>
              <w:rPr>
                <w:rFonts w:ascii="仿宋_GB2312" w:hAnsi="仿宋_GB2312" w:eastAsia="仿宋_GB2312" w:cs="Times New Roman"/>
                <w:color w:val="000000"/>
                <w:sz w:val="24"/>
                <w:szCs w:val="24"/>
              </w:rPr>
            </w:pPr>
          </w:p>
        </w:tc>
        <w:tc>
          <w:tcPr>
            <w:tcW w:w="1275"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邮政编码</w:t>
            </w:r>
          </w:p>
        </w:tc>
        <w:tc>
          <w:tcPr>
            <w:tcW w:w="2115" w:type="dxa"/>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园区负责人</w:t>
            </w:r>
          </w:p>
        </w:tc>
        <w:tc>
          <w:tcPr>
            <w:tcW w:w="2971" w:type="dxa"/>
            <w:vAlign w:val="center"/>
          </w:tcPr>
          <w:p>
            <w:pPr>
              <w:spacing w:line="360" w:lineRule="auto"/>
              <w:rPr>
                <w:rFonts w:ascii="仿宋_GB2312" w:hAnsi="仿宋_GB2312" w:eastAsia="仿宋_GB2312" w:cs="Times New Roman"/>
                <w:color w:val="000000"/>
                <w:sz w:val="24"/>
                <w:szCs w:val="24"/>
              </w:rPr>
            </w:pPr>
          </w:p>
        </w:tc>
        <w:tc>
          <w:tcPr>
            <w:tcW w:w="1275"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职务</w:t>
            </w:r>
          </w:p>
        </w:tc>
        <w:tc>
          <w:tcPr>
            <w:tcW w:w="2115" w:type="dxa"/>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联系电话</w:t>
            </w:r>
          </w:p>
        </w:tc>
        <w:tc>
          <w:tcPr>
            <w:tcW w:w="2971" w:type="dxa"/>
            <w:vAlign w:val="center"/>
          </w:tcPr>
          <w:p>
            <w:pPr>
              <w:spacing w:line="360" w:lineRule="auto"/>
              <w:rPr>
                <w:rFonts w:ascii="仿宋_GB2312" w:hAnsi="仿宋_GB2312" w:eastAsia="仿宋_GB2312" w:cs="Times New Roman"/>
                <w:color w:val="000000"/>
                <w:sz w:val="24"/>
                <w:szCs w:val="24"/>
              </w:rPr>
            </w:pPr>
          </w:p>
        </w:tc>
        <w:tc>
          <w:tcPr>
            <w:tcW w:w="1275"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传真</w:t>
            </w:r>
          </w:p>
        </w:tc>
        <w:tc>
          <w:tcPr>
            <w:tcW w:w="2115" w:type="dxa"/>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电子邮箱</w:t>
            </w:r>
          </w:p>
        </w:tc>
        <w:tc>
          <w:tcPr>
            <w:tcW w:w="6361" w:type="dxa"/>
            <w:gridSpan w:val="3"/>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申报单位联系人</w:t>
            </w:r>
          </w:p>
        </w:tc>
        <w:tc>
          <w:tcPr>
            <w:tcW w:w="2971" w:type="dxa"/>
            <w:vAlign w:val="center"/>
          </w:tcPr>
          <w:p>
            <w:pPr>
              <w:spacing w:line="360" w:lineRule="auto"/>
              <w:rPr>
                <w:rFonts w:ascii="仿宋_GB2312" w:hAnsi="仿宋_GB2312" w:eastAsia="仿宋_GB2312" w:cs="Times New Roman"/>
                <w:color w:val="000000"/>
                <w:sz w:val="24"/>
                <w:szCs w:val="24"/>
              </w:rPr>
            </w:pPr>
          </w:p>
        </w:tc>
        <w:tc>
          <w:tcPr>
            <w:tcW w:w="1275"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职务</w:t>
            </w:r>
          </w:p>
        </w:tc>
        <w:tc>
          <w:tcPr>
            <w:tcW w:w="2115" w:type="dxa"/>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联系电话</w:t>
            </w:r>
          </w:p>
        </w:tc>
        <w:tc>
          <w:tcPr>
            <w:tcW w:w="2971" w:type="dxa"/>
            <w:vAlign w:val="center"/>
          </w:tcPr>
          <w:p>
            <w:pPr>
              <w:spacing w:line="360" w:lineRule="auto"/>
              <w:rPr>
                <w:rFonts w:ascii="仿宋_GB2312" w:hAnsi="仿宋_GB2312" w:eastAsia="仿宋_GB2312" w:cs="Times New Roman"/>
                <w:color w:val="000000"/>
                <w:sz w:val="24"/>
                <w:szCs w:val="24"/>
              </w:rPr>
            </w:pPr>
          </w:p>
        </w:tc>
        <w:tc>
          <w:tcPr>
            <w:tcW w:w="1275"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传真</w:t>
            </w:r>
          </w:p>
        </w:tc>
        <w:tc>
          <w:tcPr>
            <w:tcW w:w="2115" w:type="dxa"/>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电子邮箱</w:t>
            </w:r>
          </w:p>
        </w:tc>
        <w:tc>
          <w:tcPr>
            <w:tcW w:w="6361" w:type="dxa"/>
            <w:gridSpan w:val="3"/>
            <w:vAlign w:val="center"/>
          </w:tcPr>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73" w:type="dxa"/>
            <w:tcBorders>
              <w:bottom w:val="nil"/>
            </w:tcBorders>
            <w:vAlign w:val="center"/>
          </w:tcPr>
          <w:p>
            <w:pPr>
              <w:spacing w:line="360" w:lineRule="auto"/>
              <w:jc w:val="center"/>
              <w:rPr>
                <w:rFonts w:ascii="仿宋_GB2312" w:hAnsi="仿宋_GB2312" w:eastAsia="仿宋_GB2312" w:cs="Times New Roman"/>
                <w:color w:val="000000"/>
                <w:sz w:val="24"/>
                <w:szCs w:val="24"/>
              </w:rPr>
            </w:pPr>
            <w:r>
              <w:rPr>
                <w:rFonts w:hint="eastAsia" w:ascii="仿宋_GB2312" w:hAnsi="仿宋_GB2312" w:eastAsia="仿宋_GB2312" w:cs="仿宋_GB2312"/>
                <w:color w:val="000000"/>
                <w:sz w:val="24"/>
                <w:szCs w:val="24"/>
              </w:rPr>
              <w:t>园区简介</w:t>
            </w:r>
          </w:p>
        </w:tc>
        <w:tc>
          <w:tcPr>
            <w:tcW w:w="6361" w:type="dxa"/>
            <w:gridSpan w:val="3"/>
            <w:tcBorders>
              <w:bottom w:val="nil"/>
            </w:tcBorders>
            <w:vAlign w:val="center"/>
          </w:tcPr>
          <w:p>
            <w:pPr>
              <w:spacing w:line="360" w:lineRule="auto"/>
              <w:rPr>
                <w:rFonts w:ascii="仿宋_GB2312" w:hAnsi="仿宋_GB2312" w:eastAsia="仿宋_GB2312" w:cs="Times New Roman"/>
                <w:color w:val="000000"/>
                <w:sz w:val="24"/>
                <w:szCs w:val="24"/>
              </w:rPr>
            </w:pPr>
          </w:p>
          <w:p>
            <w:pPr>
              <w:spacing w:line="360" w:lineRule="auto"/>
              <w:rPr>
                <w:rFonts w:ascii="仿宋_GB2312" w:hAnsi="仿宋_GB2312" w:eastAsia="仿宋_GB2312" w:cs="Times New Roman"/>
                <w:color w:val="000000"/>
                <w:sz w:val="24"/>
                <w:szCs w:val="24"/>
              </w:rPr>
            </w:pPr>
          </w:p>
          <w:p>
            <w:pPr>
              <w:spacing w:line="360" w:lineRule="auto"/>
              <w:rPr>
                <w:rFonts w:ascii="仿宋_GB2312" w:hAnsi="仿宋_GB2312" w:eastAsia="仿宋_GB2312" w:cs="Times New Roman"/>
                <w:color w:val="000000"/>
                <w:sz w:val="24"/>
                <w:szCs w:val="24"/>
              </w:rPr>
            </w:pPr>
          </w:p>
          <w:p>
            <w:pPr>
              <w:spacing w:line="360" w:lineRule="auto"/>
              <w:rPr>
                <w:rFonts w:ascii="仿宋_GB2312" w:hAnsi="仿宋_GB2312" w:eastAsia="仿宋_GB2312" w:cs="Times New Roman"/>
                <w:color w:val="000000"/>
                <w:sz w:val="24"/>
                <w:szCs w:val="24"/>
              </w:rPr>
            </w:pPr>
          </w:p>
          <w:p>
            <w:pPr>
              <w:spacing w:line="360" w:lineRule="auto"/>
              <w:rPr>
                <w:rFonts w:ascii="仿宋_GB2312" w:hAnsi="仿宋_GB2312" w:eastAsia="仿宋_GB2312" w:cs="Times New Roman"/>
                <w:color w:val="000000"/>
                <w:sz w:val="24"/>
                <w:szCs w:val="24"/>
              </w:rPr>
            </w:pPr>
          </w:p>
          <w:p>
            <w:pPr>
              <w:spacing w:line="360" w:lineRule="auto"/>
              <w:rPr>
                <w:rFonts w:ascii="仿宋_GB2312" w:hAnsi="仿宋_GB2312" w:eastAsia="仿宋_GB2312" w:cs="Times New Roman"/>
                <w:color w:val="000000"/>
                <w:sz w:val="24"/>
                <w:szCs w:val="24"/>
              </w:rPr>
            </w:pPr>
          </w:p>
          <w:p>
            <w:pPr>
              <w:spacing w:line="360" w:lineRule="auto"/>
              <w:rPr>
                <w:rFonts w:ascii="仿宋_GB2312" w:hAnsi="仿宋_GB2312" w:eastAsia="仿宋_GB2312" w:cs="Times New Roman"/>
                <w:color w:val="000000"/>
                <w:sz w:val="24"/>
                <w:szCs w:val="24"/>
              </w:rPr>
            </w:pPr>
          </w:p>
          <w:p>
            <w:pPr>
              <w:spacing w:line="360" w:lineRule="auto"/>
              <w:rPr>
                <w:rFonts w:ascii="仿宋_GB2312" w:hAns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75" w:hRule="atLeast"/>
        </w:trPr>
        <w:tc>
          <w:tcPr>
            <w:tcW w:w="8334" w:type="dxa"/>
            <w:gridSpan w:val="4"/>
            <w:vAlign w:val="center"/>
          </w:tcPr>
          <w:p>
            <w:pPr>
              <w:widowControl/>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材料真实性承诺</w:t>
            </w:r>
            <w:r>
              <w:rPr>
                <w:rFonts w:ascii="仿宋_GB2312" w:hAnsi="仿宋_GB2312" w:eastAsia="仿宋_GB2312" w:cs="仿宋_GB2312"/>
                <w:b/>
                <w:bCs/>
                <w:color w:val="000000"/>
                <w:kern w:val="0"/>
                <w:sz w:val="24"/>
                <w:szCs w:val="24"/>
              </w:rPr>
              <w:t>:</w:t>
            </w:r>
          </w:p>
          <w:p>
            <w:pPr>
              <w:widowControl/>
              <w:ind w:firstLine="497" w:firstLineChars="207"/>
              <w:rPr>
                <w:rFonts w:ascii="仿宋_GB2312" w:hAnsi="仿宋_GB2312" w:eastAsia="仿宋_GB2312" w:cs="Times New Roman"/>
                <w:color w:val="000000"/>
                <w:kern w:val="0"/>
                <w:sz w:val="24"/>
                <w:szCs w:val="24"/>
              </w:rPr>
            </w:pPr>
          </w:p>
          <w:p>
            <w:pPr>
              <w:widowControl/>
              <w:ind w:firstLine="497" w:firstLineChars="207"/>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我单位郑重承诺：本次申报绿色园区示范所提交的相关数据和信息均真实、有效，愿接受并积极配合主管部门的监督抽查和核验。如有违反，愿承担由此产生的相应责任。</w:t>
            </w:r>
          </w:p>
          <w:p>
            <w:pPr>
              <w:widowControl/>
              <w:ind w:firstLine="497" w:firstLineChars="207"/>
              <w:rPr>
                <w:rFonts w:ascii="仿宋_GB2312" w:hAnsi="仿宋_GB2312" w:eastAsia="仿宋_GB2312" w:cs="Times New Roman"/>
                <w:color w:val="000000"/>
                <w:kern w:val="0"/>
                <w:sz w:val="24"/>
                <w:szCs w:val="24"/>
              </w:rPr>
            </w:pPr>
          </w:p>
          <w:p>
            <w:pPr>
              <w:widowControl/>
              <w:wordWrap w:val="0"/>
              <w:rPr>
                <w:rFonts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 xml:space="preserve">                                  </w:t>
            </w:r>
          </w:p>
          <w:p>
            <w:pPr>
              <w:widowControl/>
              <w:wordWrap w:val="0"/>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 xml:space="preserve">                                       负责人签字：</w:t>
            </w:r>
          </w:p>
          <w:p>
            <w:pPr>
              <w:widowControl/>
              <w:wordWrap w:val="0"/>
              <w:rPr>
                <w:rFonts w:ascii="仿宋_GB2312" w:hAnsi="仿宋_GB2312" w:eastAsia="仿宋_GB2312" w:cs="Times New Roman"/>
                <w:b/>
                <w:bCs/>
                <w:color w:val="000000"/>
                <w:kern w:val="0"/>
                <w:sz w:val="24"/>
                <w:szCs w:val="24"/>
              </w:rPr>
            </w:pPr>
          </w:p>
          <w:p>
            <w:pPr>
              <w:widowControl/>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 xml:space="preserve">                                      （盖章）</w:t>
            </w:r>
          </w:p>
          <w:p>
            <w:pPr>
              <w:spacing w:line="360" w:lineRule="auto"/>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 xml:space="preserve">                                             日期：</w:t>
            </w:r>
          </w:p>
          <w:p>
            <w:pPr>
              <w:spacing w:line="360" w:lineRule="auto"/>
              <w:rPr>
                <w:rFonts w:ascii="仿宋_GB2312" w:hAnsi="仿宋_GB2312" w:eastAsia="仿宋_GB2312" w:cs="Times New Roman"/>
                <w:b/>
                <w:bCs/>
                <w:color w:val="000000"/>
                <w:kern w:val="0"/>
                <w:sz w:val="24"/>
                <w:szCs w:val="24"/>
              </w:rPr>
            </w:pPr>
          </w:p>
        </w:tc>
      </w:tr>
    </w:tbl>
    <w:p>
      <w:pPr>
        <w:spacing w:line="360" w:lineRule="auto"/>
        <w:rPr>
          <w:rFonts w:ascii="黑体" w:hAnsi="黑体" w:eastAsia="黑体" w:cs="Times New Roman"/>
          <w:color w:val="000000"/>
          <w:sz w:val="32"/>
          <w:szCs w:val="32"/>
        </w:rPr>
      </w:pPr>
      <w:r>
        <w:rPr>
          <w:rFonts w:ascii="黑体" w:hAnsi="黑体" w:eastAsia="黑体" w:cs="Times New Roman"/>
          <w:b/>
          <w:bCs/>
          <w:color w:val="000000"/>
          <w:sz w:val="32"/>
          <w:szCs w:val="32"/>
        </w:rPr>
        <w:br w:type="page"/>
      </w:r>
      <w:r>
        <w:rPr>
          <w:rFonts w:hint="eastAsia" w:ascii="黑体" w:hAnsi="黑体" w:eastAsia="黑体" w:cs="黑体"/>
          <w:color w:val="000000"/>
          <w:sz w:val="32"/>
          <w:szCs w:val="32"/>
        </w:rPr>
        <w:t>一、绿色园区建设或改造简述（</w:t>
      </w:r>
      <w:r>
        <w:rPr>
          <w:rFonts w:ascii="黑体" w:hAnsi="黑体" w:eastAsia="黑体" w:cs="黑体"/>
          <w:color w:val="000000"/>
          <w:sz w:val="32"/>
          <w:szCs w:val="32"/>
        </w:rPr>
        <w:t>3000</w:t>
      </w:r>
      <w:r>
        <w:rPr>
          <w:rFonts w:hint="eastAsia" w:ascii="黑体" w:hAnsi="黑体" w:eastAsia="黑体" w:cs="黑体"/>
          <w:color w:val="000000"/>
          <w:sz w:val="32"/>
          <w:szCs w:val="32"/>
        </w:rPr>
        <w:t>字以内）</w:t>
      </w:r>
    </w:p>
    <w:tbl>
      <w:tblPr>
        <w:tblW w:w="83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8334" w:type="dxa"/>
            <w:vAlign w:val="top"/>
          </w:tcPr>
          <w:p>
            <w:pPr>
              <w:pStyle w:val="28"/>
              <w:widowControl/>
              <w:snapToGrid w:val="0"/>
              <w:spacing w:line="360" w:lineRule="auto"/>
              <w:ind w:firstLine="480"/>
              <w:rPr>
                <w:rFonts w:ascii="Times New Roman" w:hAnsi="Times New Roman" w:eastAsia="仿宋_GB2312" w:cs="Times New Roman"/>
                <w:color w:val="000000"/>
                <w:kern w:val="0"/>
                <w:sz w:val="24"/>
                <w:szCs w:val="24"/>
              </w:rPr>
            </w:pPr>
            <w:r>
              <w:rPr>
                <w:rFonts w:hint="eastAsia" w:ascii="Times New Roman" w:hAnsi="Times New Roman" w:eastAsia="仿宋_GB2312" w:cs="仿宋_GB2312"/>
                <w:color w:val="000000"/>
                <w:kern w:val="0"/>
                <w:sz w:val="24"/>
                <w:szCs w:val="24"/>
              </w:rPr>
              <w:t>对绿色园区建设或改造开展的工作、取得的成效和未来三年改造计划等进行简要叙述。</w:t>
            </w:r>
          </w:p>
          <w:p>
            <w:pPr>
              <w:spacing w:line="360" w:lineRule="auto"/>
              <w:ind w:firstLine="480" w:firstLineChars="200"/>
              <w:rPr>
                <w:rFonts w:ascii="方正仿宋简体" w:hAnsi="Times New Roman" w:eastAsia="方正仿宋简体" w:cs="Times New Roman"/>
                <w:color w:val="000000"/>
                <w:kern w:val="0"/>
                <w:sz w:val="24"/>
                <w:szCs w:val="24"/>
              </w:rPr>
            </w:pPr>
          </w:p>
          <w:p>
            <w:pPr>
              <w:spacing w:line="360" w:lineRule="auto"/>
              <w:ind w:firstLine="480" w:firstLineChars="200"/>
              <w:rPr>
                <w:rFonts w:ascii="方正仿宋简体" w:hAnsi="Times New Roman" w:eastAsia="方正仿宋简体" w:cs="Times New Roman"/>
                <w:color w:val="000000"/>
                <w:kern w:val="0"/>
                <w:sz w:val="24"/>
                <w:szCs w:val="24"/>
              </w:rPr>
            </w:pPr>
          </w:p>
          <w:p>
            <w:pPr>
              <w:spacing w:line="360" w:lineRule="auto"/>
              <w:ind w:firstLine="480" w:firstLineChars="20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p>
            <w:pPr>
              <w:spacing w:line="360" w:lineRule="auto"/>
              <w:ind w:firstLine="480"/>
              <w:rPr>
                <w:rFonts w:ascii="方正仿宋简体" w:hAnsi="Times New Roman" w:eastAsia="方正仿宋简体" w:cs="Times New Roman"/>
                <w:color w:val="000000"/>
                <w:kern w:val="0"/>
                <w:sz w:val="24"/>
                <w:szCs w:val="24"/>
              </w:rPr>
            </w:pPr>
          </w:p>
        </w:tc>
      </w:tr>
    </w:tbl>
    <w:p>
      <w:pPr>
        <w:spacing w:line="360" w:lineRule="auto"/>
        <w:rPr>
          <w:rFonts w:ascii="黑体" w:hAnsi="黑体" w:eastAsia="黑体" w:cs="Times New Roman"/>
          <w:b/>
          <w:bCs/>
          <w:color w:val="000000"/>
          <w:sz w:val="32"/>
          <w:szCs w:val="32"/>
        </w:rPr>
      </w:pPr>
    </w:p>
    <w:p>
      <w:pPr>
        <w:spacing w:line="360" w:lineRule="auto"/>
        <w:rPr>
          <w:rFonts w:ascii="黑体" w:hAnsi="黑体" w:eastAsia="黑体" w:cs="Times New Roman"/>
          <w:color w:val="000000"/>
          <w:sz w:val="32"/>
          <w:szCs w:val="32"/>
        </w:rPr>
      </w:pPr>
      <w:r>
        <w:rPr>
          <w:rFonts w:hint="eastAsia" w:ascii="黑体" w:hAnsi="黑体" w:eastAsia="黑体" w:cs="黑体"/>
          <w:color w:val="000000"/>
          <w:sz w:val="32"/>
          <w:szCs w:val="32"/>
        </w:rPr>
        <w:t>二、绿色园区自评价结果情况</w:t>
      </w:r>
    </w:p>
    <w:tbl>
      <w:tblPr>
        <w:tblW w:w="83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795"/>
        <w:gridCol w:w="1984"/>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795" w:type="dxa"/>
            <w:vAlign w:val="center"/>
          </w:tcPr>
          <w:p>
            <w:pPr>
              <w:spacing w:line="36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基本要求</w:t>
            </w:r>
          </w:p>
        </w:tc>
        <w:tc>
          <w:tcPr>
            <w:tcW w:w="5539" w:type="dxa"/>
            <w:gridSpan w:val="2"/>
            <w:vAlign w:val="center"/>
          </w:tcPr>
          <w:p>
            <w:pPr>
              <w:spacing w:line="360" w:lineRule="auto"/>
              <w:jc w:val="center"/>
              <w:rPr>
                <w:rFonts w:ascii="仿宋_GB2312" w:eastAsia="仿宋_GB2312" w:cs="Times New Roman"/>
                <w:color w:val="000000"/>
                <w:sz w:val="24"/>
                <w:szCs w:val="24"/>
              </w:rPr>
            </w:pPr>
            <w:r>
              <w:rPr>
                <w:rFonts w:hint="eastAsia" w:ascii="华文中宋" w:hAnsi="华文中宋" w:eastAsia="华文中宋" w:cs="华文中宋"/>
                <w:color w:val="000000"/>
                <w:sz w:val="24"/>
                <w:szCs w:val="24"/>
              </w:rPr>
              <w:t>□</w:t>
            </w:r>
            <w:r>
              <w:rPr>
                <w:rFonts w:hint="eastAsia" w:ascii="仿宋_GB2312" w:eastAsia="仿宋_GB2312" w:cs="仿宋_GB2312"/>
                <w:color w:val="000000"/>
                <w:sz w:val="24"/>
                <w:szCs w:val="24"/>
              </w:rPr>
              <w:t xml:space="preserve">符合  </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 xml:space="preserve"> </w:t>
            </w:r>
            <w:r>
              <w:rPr>
                <w:rFonts w:hint="eastAsia" w:ascii="华文中宋" w:hAnsi="华文中宋" w:eastAsia="华文中宋" w:cs="华文中宋"/>
                <w:color w:val="000000"/>
                <w:sz w:val="24"/>
                <w:szCs w:val="24"/>
              </w:rPr>
              <w:t>□</w:t>
            </w:r>
            <w:r>
              <w:rPr>
                <w:rFonts w:hint="eastAsia" w:ascii="仿宋" w:hAnsi="仿宋" w:eastAsia="仿宋" w:cs="仿宋"/>
                <w:color w:val="000000"/>
                <w:sz w:val="24"/>
                <w:szCs w:val="24"/>
              </w:rPr>
              <w:t>不</w:t>
            </w:r>
            <w:r>
              <w:rPr>
                <w:rFonts w:hint="eastAsia" w:ascii="仿宋_GB2312" w:eastAsia="仿宋_GB2312" w:cs="仿宋_GB2312"/>
                <w:color w:val="000000"/>
                <w:sz w:val="24"/>
                <w:szCs w:val="24"/>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795" w:type="dxa"/>
            <w:vMerge w:val="restart"/>
            <w:vAlign w:val="center"/>
          </w:tcPr>
          <w:p>
            <w:pPr>
              <w:spacing w:line="36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近三年得分情况</w:t>
            </w:r>
          </w:p>
        </w:tc>
        <w:tc>
          <w:tcPr>
            <w:tcW w:w="1984" w:type="dxa"/>
            <w:vAlign w:val="center"/>
          </w:tcPr>
          <w:p>
            <w:pPr>
              <w:spacing w:line="36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第</w:t>
            </w:r>
            <w:r>
              <w:rPr>
                <w:rFonts w:ascii="仿宋_GB2312" w:eastAsia="仿宋_GB2312" w:cs="仿宋_GB2312"/>
                <w:color w:val="000000"/>
                <w:sz w:val="24"/>
                <w:szCs w:val="24"/>
              </w:rPr>
              <w:t>1</w:t>
            </w:r>
            <w:r>
              <w:rPr>
                <w:rFonts w:hint="eastAsia" w:ascii="仿宋_GB2312" w:eastAsia="仿宋_GB2312" w:cs="仿宋_GB2312"/>
                <w:color w:val="000000"/>
                <w:sz w:val="24"/>
                <w:szCs w:val="24"/>
              </w:rPr>
              <w:t>年</w:t>
            </w:r>
          </w:p>
        </w:tc>
        <w:tc>
          <w:tcPr>
            <w:tcW w:w="3555" w:type="dxa"/>
            <w:vAlign w:val="center"/>
          </w:tcPr>
          <w:p>
            <w:pPr>
              <w:spacing w:line="360" w:lineRule="auto"/>
              <w:jc w:val="center"/>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795" w:type="dxa"/>
            <w:vMerge w:val="continue"/>
            <w:vAlign w:val="center"/>
          </w:tcPr>
          <w:p>
            <w:pPr>
              <w:spacing w:line="360" w:lineRule="auto"/>
              <w:jc w:val="center"/>
              <w:rPr>
                <w:rFonts w:ascii="仿宋_GB2312" w:eastAsia="仿宋_GB2312" w:cs="Times New Roman"/>
                <w:color w:val="000000"/>
                <w:sz w:val="24"/>
                <w:szCs w:val="24"/>
              </w:rPr>
            </w:pPr>
          </w:p>
        </w:tc>
        <w:tc>
          <w:tcPr>
            <w:tcW w:w="1984" w:type="dxa"/>
            <w:vAlign w:val="center"/>
          </w:tcPr>
          <w:p>
            <w:pPr>
              <w:spacing w:line="36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第</w:t>
            </w:r>
            <w:r>
              <w:rPr>
                <w:rFonts w:ascii="仿宋_GB2312" w:eastAsia="仿宋_GB2312" w:cs="仿宋_GB2312"/>
                <w:color w:val="000000"/>
                <w:sz w:val="24"/>
                <w:szCs w:val="24"/>
              </w:rPr>
              <w:t>2</w:t>
            </w:r>
            <w:r>
              <w:rPr>
                <w:rFonts w:hint="eastAsia" w:ascii="仿宋_GB2312" w:eastAsia="仿宋_GB2312" w:cs="仿宋_GB2312"/>
                <w:color w:val="000000"/>
                <w:sz w:val="24"/>
                <w:szCs w:val="24"/>
              </w:rPr>
              <w:t>年</w:t>
            </w:r>
          </w:p>
        </w:tc>
        <w:tc>
          <w:tcPr>
            <w:tcW w:w="3555" w:type="dxa"/>
            <w:vAlign w:val="center"/>
          </w:tcPr>
          <w:p>
            <w:pPr>
              <w:spacing w:line="360" w:lineRule="auto"/>
              <w:jc w:val="center"/>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795" w:type="dxa"/>
            <w:vMerge w:val="continue"/>
            <w:vAlign w:val="center"/>
          </w:tcPr>
          <w:p>
            <w:pPr>
              <w:spacing w:line="360" w:lineRule="auto"/>
              <w:jc w:val="center"/>
              <w:rPr>
                <w:rFonts w:ascii="仿宋_GB2312" w:eastAsia="仿宋_GB2312" w:cs="Times New Roman"/>
                <w:color w:val="000000"/>
                <w:sz w:val="24"/>
                <w:szCs w:val="24"/>
              </w:rPr>
            </w:pPr>
          </w:p>
        </w:tc>
        <w:tc>
          <w:tcPr>
            <w:tcW w:w="1984" w:type="dxa"/>
            <w:vAlign w:val="center"/>
          </w:tcPr>
          <w:p>
            <w:pPr>
              <w:spacing w:line="36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rPr>
              <w:t>第</w:t>
            </w:r>
            <w:r>
              <w:rPr>
                <w:rFonts w:ascii="仿宋_GB2312" w:eastAsia="仿宋_GB2312" w:cs="仿宋_GB2312"/>
                <w:color w:val="000000"/>
                <w:sz w:val="24"/>
                <w:szCs w:val="24"/>
              </w:rPr>
              <w:t>3</w:t>
            </w:r>
            <w:r>
              <w:rPr>
                <w:rFonts w:hint="eastAsia" w:ascii="仿宋_GB2312" w:eastAsia="仿宋_GB2312" w:cs="仿宋_GB2312"/>
                <w:color w:val="000000"/>
                <w:sz w:val="24"/>
                <w:szCs w:val="24"/>
              </w:rPr>
              <w:t>年</w:t>
            </w:r>
          </w:p>
        </w:tc>
        <w:tc>
          <w:tcPr>
            <w:tcW w:w="3555" w:type="dxa"/>
            <w:vAlign w:val="center"/>
          </w:tcPr>
          <w:p>
            <w:pPr>
              <w:spacing w:line="360" w:lineRule="auto"/>
              <w:jc w:val="center"/>
              <w:rPr>
                <w:rFonts w:ascii="仿宋_GB2312"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55" w:hRule="atLeast"/>
        </w:trPr>
        <w:tc>
          <w:tcPr>
            <w:tcW w:w="2795"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_GB2312" w:eastAsia="仿宋_GB2312" w:cs="仿宋_GB2312"/>
                <w:color w:val="000000"/>
                <w:sz w:val="24"/>
                <w:szCs w:val="24"/>
              </w:rPr>
            </w:pPr>
            <w:r>
              <w:rPr>
                <w:rFonts w:hint="eastAsia" w:ascii="仿宋_GB2312" w:eastAsia="仿宋_GB2312" w:cs="仿宋_GB2312"/>
                <w:color w:val="000000"/>
                <w:sz w:val="24"/>
                <w:szCs w:val="24"/>
              </w:rPr>
              <w:t>自评得分</w:t>
            </w:r>
          </w:p>
          <w:p>
            <w:pPr>
              <w:widowControl w:val="0"/>
              <w:wordWrap/>
              <w:adjustRightInd/>
              <w:snapToGrid/>
              <w:spacing w:before="0" w:after="0" w:line="240" w:lineRule="auto"/>
              <w:ind w:left="0" w:leftChars="0" w:right="0" w:firstLine="0" w:firstLineChars="0"/>
              <w:jc w:val="center"/>
              <w:textAlignment w:val="auto"/>
              <w:outlineLvl w:val="9"/>
              <w:rPr>
                <w:rFonts w:ascii="仿宋_GB2312" w:eastAsia="仿宋_GB2312" w:cs="Times New Roman"/>
                <w:color w:val="000000"/>
                <w:sz w:val="24"/>
                <w:szCs w:val="24"/>
              </w:rPr>
            </w:pPr>
            <w:r>
              <w:rPr>
                <w:rFonts w:ascii="仿宋_GB2312" w:eastAsia="仿宋_GB2312" w:cs="仿宋_GB2312"/>
                <w:color w:val="000000"/>
                <w:sz w:val="24"/>
                <w:szCs w:val="24"/>
              </w:rPr>
              <w:t>（</w:t>
            </w:r>
            <w:r>
              <w:rPr>
                <w:rFonts w:hint="eastAsia" w:ascii="仿宋_GB2312" w:eastAsia="仿宋_GB2312" w:cs="仿宋_GB2312"/>
                <w:color w:val="000000"/>
                <w:sz w:val="24"/>
                <w:szCs w:val="24"/>
              </w:rPr>
              <w:t>近三年</w:t>
            </w:r>
            <w:r>
              <w:rPr>
                <w:rFonts w:ascii="仿宋_GB2312" w:eastAsia="仿宋_GB2312" w:cs="Times New Roman"/>
                <w:color w:val="000000"/>
                <w:sz w:val="24"/>
                <w:szCs w:val="24"/>
              </w:rPr>
              <w:t>平均得分</w:t>
            </w:r>
            <w:r>
              <w:rPr>
                <w:rFonts w:ascii="仿宋_GB2312" w:eastAsia="仿宋_GB2312" w:cs="仿宋_GB2312"/>
                <w:color w:val="000000"/>
                <w:sz w:val="24"/>
                <w:szCs w:val="24"/>
              </w:rPr>
              <w:t>）</w:t>
            </w:r>
          </w:p>
        </w:tc>
        <w:tc>
          <w:tcPr>
            <w:tcW w:w="5539" w:type="dxa"/>
            <w:gridSpan w:val="2"/>
            <w:vAlign w:val="center"/>
          </w:tcPr>
          <w:p>
            <w:pPr>
              <w:spacing w:line="360" w:lineRule="auto"/>
              <w:jc w:val="center"/>
              <w:rPr>
                <w:rFonts w:ascii="仿宋_GB2312" w:eastAsia="仿宋_GB2312" w:cs="Times New Roman"/>
                <w:color w:val="000000"/>
                <w:sz w:val="24"/>
                <w:szCs w:val="24"/>
              </w:rPr>
            </w:pPr>
          </w:p>
        </w:tc>
      </w:tr>
    </w:tbl>
    <w:p>
      <w:pPr>
        <w:spacing w:beforeLines="50" w:afterLines="50" w:line="360" w:lineRule="auto"/>
        <w:jc w:val="center"/>
        <w:rPr>
          <w:rFonts w:ascii="黑体" w:hAnsi="黑体" w:eastAsia="黑体" w:cs="Times New Roman"/>
          <w:color w:val="000000"/>
          <w:sz w:val="36"/>
          <w:szCs w:val="36"/>
        </w:rPr>
      </w:pPr>
      <w:r>
        <w:rPr>
          <w:rFonts w:ascii="方正小标宋简体" w:eastAsia="方正小标宋简体" w:cs="Times New Roman"/>
          <w:color w:val="000000"/>
          <w:sz w:val="30"/>
          <w:szCs w:val="30"/>
        </w:rPr>
        <w:br w:type="page"/>
      </w:r>
      <w:r>
        <w:rPr>
          <w:rFonts w:hint="eastAsia" w:ascii="黑体" w:hAnsi="黑体" w:eastAsia="黑体" w:cs="黑体"/>
          <w:color w:val="000000"/>
          <w:sz w:val="36"/>
          <w:szCs w:val="36"/>
        </w:rPr>
        <w:t>园区指标符合性评价</w:t>
      </w:r>
    </w:p>
    <w:p>
      <w:pPr>
        <w:adjustRightInd w:val="0"/>
        <w:snapToGrid w:val="0"/>
        <w:ind w:left="960" w:hanging="960" w:hangingChars="400"/>
        <w:rPr>
          <w:rFonts w:ascii="仿宋_GB2312" w:eastAsia="仿宋_GB2312" w:cs="Times New Roman"/>
          <w:color w:val="000000"/>
          <w:kern w:val="0"/>
          <w:sz w:val="24"/>
          <w:szCs w:val="28"/>
        </w:rPr>
      </w:pPr>
      <w:r>
        <w:rPr>
          <w:rFonts w:hint="eastAsia" w:ascii="仿宋_GB2312" w:eastAsia="仿宋_GB2312" w:cs="仿宋_GB2312"/>
          <w:color w:val="000000"/>
          <w:kern w:val="0"/>
          <w:sz w:val="24"/>
          <w:szCs w:val="28"/>
        </w:rPr>
        <w:t>说明：</w:t>
      </w:r>
      <w:r>
        <w:rPr>
          <w:rFonts w:ascii="仿宋_GB2312" w:eastAsia="仿宋_GB2312" w:cs="仿宋_GB2312"/>
          <w:color w:val="000000"/>
          <w:kern w:val="0"/>
          <w:sz w:val="24"/>
          <w:szCs w:val="28"/>
        </w:rPr>
        <w:t>1.</w:t>
      </w:r>
      <w:r>
        <w:rPr>
          <w:rFonts w:hint="eastAsia" w:ascii="仿宋_GB2312" w:eastAsia="仿宋_GB2312" w:cs="仿宋_GB2312"/>
          <w:color w:val="000000"/>
          <w:kern w:val="0"/>
          <w:sz w:val="24"/>
          <w:szCs w:val="28"/>
        </w:rPr>
        <w:t>基本要求为申请绿色园区评价的必要条件，如有任何一项不满足评价要求，不得通过绿色园区评价。</w:t>
      </w:r>
    </w:p>
    <w:p>
      <w:pPr>
        <w:adjustRightInd w:val="0"/>
        <w:snapToGrid w:val="0"/>
        <w:ind w:firstLine="720" w:firstLineChars="300"/>
        <w:rPr>
          <w:rFonts w:ascii="仿宋" w:hAnsi="仿宋" w:eastAsia="仿宋" w:cs="Times New Roman"/>
          <w:b/>
          <w:bCs/>
          <w:color w:val="000000"/>
          <w:sz w:val="28"/>
          <w:szCs w:val="30"/>
        </w:rPr>
      </w:pPr>
      <w:r>
        <w:rPr>
          <w:rFonts w:ascii="仿宋_GB2312" w:eastAsia="仿宋_GB2312" w:cs="仿宋_GB2312"/>
          <w:color w:val="000000"/>
          <w:kern w:val="0"/>
          <w:sz w:val="24"/>
          <w:szCs w:val="28"/>
        </w:rPr>
        <w:t>2.</w:t>
      </w:r>
      <w:r>
        <w:rPr>
          <w:rFonts w:hint="eastAsia" w:ascii="仿宋_GB2312" w:eastAsia="仿宋_GB2312" w:cs="仿宋_GB2312"/>
          <w:color w:val="000000"/>
          <w:kern w:val="0"/>
          <w:sz w:val="24"/>
          <w:szCs w:val="28"/>
        </w:rPr>
        <w:t>符合评价要求的请打“√”，不符合的请打“×”。</w:t>
      </w: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1"/>
        <w:gridCol w:w="6520"/>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序号</w:t>
            </w:r>
          </w:p>
        </w:tc>
        <w:tc>
          <w:tcPr>
            <w:tcW w:w="6520" w:type="dxa"/>
            <w:vAlign w:val="center"/>
          </w:tcPr>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具体评价要求</w:t>
            </w:r>
          </w:p>
        </w:tc>
        <w:tc>
          <w:tcPr>
            <w:tcW w:w="1134" w:type="dxa"/>
            <w:vAlign w:val="top"/>
          </w:tcPr>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是否</w:t>
            </w:r>
          </w:p>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符合</w:t>
            </w:r>
          </w:p>
        </w:tc>
        <w:tc>
          <w:tcPr>
            <w:tcW w:w="993" w:type="dxa"/>
            <w:vAlign w:val="top"/>
          </w:tcPr>
          <w:p>
            <w:pPr>
              <w:adjustRightInd w:val="0"/>
              <w:snapToGrid w:val="0"/>
              <w:spacing w:beforeLines="20" w:afterLines="20" w:line="276" w:lineRule="auto"/>
              <w:jc w:val="center"/>
              <w:rPr>
                <w:rFonts w:ascii="仿宋_GB2312" w:hAnsi="Times New Roman" w:eastAsia="仿宋_GB2312" w:cs="仿宋_GB2312"/>
                <w:b/>
                <w:bCs/>
                <w:color w:val="000000"/>
                <w:kern w:val="0"/>
                <w:sz w:val="24"/>
                <w:szCs w:val="24"/>
              </w:rPr>
            </w:pPr>
            <w:r>
              <w:rPr>
                <w:rFonts w:hint="eastAsia" w:ascii="仿宋_GB2312" w:hAnsi="Times New Roman" w:eastAsia="仿宋_GB2312" w:cs="仿宋_GB2312"/>
                <w:b/>
                <w:bCs/>
                <w:color w:val="000000"/>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1</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园区有效地贯彻执行国家和地方绿色、循环和低碳相关法律法规、政策和标准。</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2</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近三年，园区内未发生较大质量、安全、环境事故或较大生态破坏事件。</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3</w:t>
            </w:r>
          </w:p>
        </w:tc>
        <w:tc>
          <w:tcPr>
            <w:tcW w:w="6520" w:type="dxa"/>
            <w:vAlign w:val="top"/>
          </w:tcPr>
          <w:p>
            <w:pPr>
              <w:adjustRightInd w:val="0"/>
              <w:snapToGrid w:val="0"/>
              <w:spacing w:beforeLines="20" w:afterLines="20" w:line="276" w:lineRule="auto"/>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园区内企业完成了国家或地方政府下达的节能减排指标，碳排放强度持续下降。</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4</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园区环境质量达到国家或地方规定的环境功能区环境质量标准，园区内企业污染物达标排放，各类重点污染物排放总量均不超过国家或地方的总量控制要求。</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9" w:hRule="atLeast"/>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5</w:t>
            </w:r>
          </w:p>
        </w:tc>
        <w:tc>
          <w:tcPr>
            <w:tcW w:w="6520" w:type="dxa"/>
            <w:vAlign w:val="center"/>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园区重点企业</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实施清洁生产审核，园区非重点企业</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实施清洁生产改造。（注：重点企业是指《清洁生产促进法》中规定的应当实施强制性清洁生产审核的企业，即评审期当年及之前公布的重点企业清洁生产审核名单中的企业）</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6</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园区企业不应使用国家列入淘汰目录的落后生产技术、工艺和设备，不应生产国家列入淘汰目录的产品。</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7</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园区应建立履行绿色发展工作职责的专门机构，配备了</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名以上专职工作人员。</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8</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园区应建立并运行环境管理体系和能源管理体系，建立园区能耗在线监测管理平台。</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9</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园区应建设并运行风能或太阳能等可再生能源利用设施。</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bl>
    <w:p>
      <w:pPr>
        <w:autoSpaceDE w:val="0"/>
        <w:autoSpaceDN w:val="0"/>
        <w:adjustRightInd w:val="0"/>
        <w:snapToGrid w:val="0"/>
        <w:spacing w:line="360" w:lineRule="auto"/>
        <w:rPr>
          <w:rFonts w:ascii="仿宋_GB2312" w:eastAsia="仿宋_GB2312" w:cs="Times New Roman"/>
          <w:color w:val="000000"/>
          <w:kern w:val="0"/>
          <w:sz w:val="24"/>
          <w:szCs w:val="24"/>
        </w:rPr>
      </w:pPr>
    </w:p>
    <w:p>
      <w:pPr>
        <w:spacing w:line="360" w:lineRule="auto"/>
        <w:rPr>
          <w:rFonts w:ascii="黑体" w:hAnsi="黑体" w:eastAsia="黑体" w:cs="Times New Roman"/>
          <w:color w:val="000000"/>
          <w:kern w:val="0"/>
          <w:sz w:val="24"/>
          <w:szCs w:val="24"/>
        </w:rPr>
      </w:pPr>
    </w:p>
    <w:p>
      <w:pPr>
        <w:spacing w:line="360" w:lineRule="auto"/>
        <w:rPr>
          <w:rFonts w:ascii="黑体" w:hAnsi="黑体" w:eastAsia="黑体" w:cs="Times New Roman"/>
          <w:color w:val="000000"/>
          <w:kern w:val="0"/>
          <w:sz w:val="24"/>
          <w:szCs w:val="24"/>
        </w:rPr>
        <w:sectPr>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黑体" w:hAnsi="黑体" w:eastAsia="黑体" w:cs="黑体"/>
          <w:color w:val="000000"/>
          <w:sz w:val="30"/>
          <w:szCs w:val="30"/>
        </w:rPr>
      </w:pPr>
      <w:r>
        <w:rPr>
          <w:rFonts w:hint="eastAsia" w:ascii="黑体" w:hAnsi="黑体" w:eastAsia="黑体" w:cs="黑体"/>
          <w:color w:val="000000"/>
          <w:sz w:val="30"/>
          <w:szCs w:val="30"/>
        </w:rPr>
        <w:t>第</w:t>
      </w:r>
      <w:r>
        <w:rPr>
          <w:rFonts w:ascii="黑体" w:hAnsi="黑体" w:eastAsia="黑体" w:cs="黑体"/>
          <w:color w:val="000000"/>
          <w:sz w:val="30"/>
          <w:szCs w:val="30"/>
        </w:rPr>
        <w:t>1</w:t>
      </w:r>
      <w:r>
        <w:rPr>
          <w:rFonts w:hint="eastAsia" w:ascii="黑体" w:hAnsi="黑体" w:eastAsia="黑体" w:cs="黑体"/>
          <w:color w:val="000000"/>
          <w:sz w:val="30"/>
          <w:szCs w:val="30"/>
        </w:rPr>
        <w:t>年（</w:t>
      </w:r>
      <w:r>
        <w:rPr>
          <w:rFonts w:hint="eastAsia" w:ascii="黑体" w:hAnsi="黑体" w:eastAsia="黑体" w:cs="黑体"/>
          <w:color w:val="000000"/>
          <w:sz w:val="30"/>
          <w:szCs w:val="30"/>
          <w:u w:val="single"/>
        </w:rPr>
        <w:t xml:space="preserve">      </w:t>
      </w:r>
      <w:r>
        <w:rPr>
          <w:rFonts w:hint="eastAsia" w:ascii="黑体" w:hAnsi="黑体" w:eastAsia="黑体" w:cs="黑体"/>
          <w:color w:val="000000"/>
          <w:sz w:val="30"/>
          <w:szCs w:val="30"/>
        </w:rPr>
        <w:t xml:space="preserve"> 年）园区数据清单</w:t>
      </w:r>
    </w:p>
    <w:tbl>
      <w:tblP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一级指标</w:t>
            </w:r>
          </w:p>
        </w:tc>
        <w:tc>
          <w:tcPr>
            <w:tcW w:w="878"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序号</w:t>
            </w:r>
          </w:p>
        </w:tc>
        <w:tc>
          <w:tcPr>
            <w:tcW w:w="3233" w:type="dxa"/>
            <w:vAlign w:val="center"/>
          </w:tcPr>
          <w:p>
            <w:pPr>
              <w:adjustRightInd w:val="0"/>
              <w:snapToGrid w:val="0"/>
              <w:ind w:firstLine="562"/>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二级指标</w:t>
            </w:r>
          </w:p>
        </w:tc>
        <w:tc>
          <w:tcPr>
            <w:tcW w:w="1276"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指标单位</w:t>
            </w:r>
          </w:p>
        </w:tc>
        <w:tc>
          <w:tcPr>
            <w:tcW w:w="1587"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指标数据</w:t>
            </w:r>
          </w:p>
        </w:tc>
        <w:tc>
          <w:tcPr>
            <w:tcW w:w="1363"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EG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能源产出率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/tce</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可再生能源使用比例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清洁能源使用率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资源利用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lang w:eastAsia="zh-CN"/>
              </w:rPr>
              <w:t>（</w:t>
            </w:r>
            <w:r>
              <w:rPr>
                <w:rFonts w:ascii="仿宋_GB2312" w:hAnsi="Times New Roman" w:eastAsia="仿宋_GB2312" w:cs="仿宋_GB2312"/>
                <w:color w:val="000000"/>
                <w:kern w:val="0"/>
                <w:sz w:val="24"/>
                <w:szCs w:val="24"/>
              </w:rPr>
              <w:t>RG</w:t>
            </w:r>
            <w:r>
              <w:rPr>
                <w:rFonts w:hint="eastAsia" w:ascii="仿宋_GB2312" w:hAnsi="Times New Roman" w:eastAsia="仿宋_GB2312" w:cs="仿宋_GB2312"/>
                <w:color w:val="000000"/>
                <w:kern w:val="0"/>
                <w:sz w:val="24"/>
                <w:szCs w:val="24"/>
                <w:lang w:eastAsia="zh-CN"/>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水资源产出率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元</w:t>
            </w:r>
            <w:r>
              <w:rPr>
                <w:rFonts w:ascii="仿宋_GB2312" w:hAnsi="Times New Roman" w:eastAsia="仿宋_GB2312" w:cs="仿宋_GB2312"/>
                <w:color w:val="000000"/>
                <w:kern w:val="0"/>
                <w:sz w:val="24"/>
                <w:szCs w:val="24"/>
              </w:rPr>
              <w:t>/m</w:t>
            </w:r>
            <w:r>
              <w:rPr>
                <w:rFonts w:ascii="仿宋_GB2312" w:hAnsi="Times New Roman" w:eastAsia="仿宋_GB2312" w:cs="仿宋_GB2312"/>
                <w:color w:val="000000"/>
                <w:kern w:val="0"/>
                <w:sz w:val="24"/>
                <w:szCs w:val="24"/>
                <w:vertAlign w:val="superscript"/>
              </w:rPr>
              <w:t>3</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土地资源产出率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亿元</w:t>
            </w:r>
            <w:r>
              <w:rPr>
                <w:rFonts w:ascii="仿宋_GB2312" w:hAnsi="Times New Roman" w:eastAsia="仿宋_GB2312" w:cs="仿宋_GB2312"/>
                <w:color w:val="000000"/>
                <w:kern w:val="0"/>
                <w:sz w:val="24"/>
                <w:szCs w:val="24"/>
              </w:rPr>
              <w:t>/km</w:t>
            </w:r>
            <w:r>
              <w:rPr>
                <w:rFonts w:ascii="仿宋_GB2312" w:hAnsi="Times New Roman" w:eastAsia="仿宋_GB2312" w:cs="仿宋_GB2312"/>
                <w:color w:val="000000"/>
                <w:kern w:val="0"/>
                <w:sz w:val="24"/>
                <w:szCs w:val="24"/>
                <w:vertAlign w:val="superscript"/>
              </w:rPr>
              <w:t>2</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工业固体废弃物综合利用率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工业用水重复利用率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中水回用率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余热资源回收利用率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废气资源回收利用率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再生资源回收利用率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基础设施</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lang w:eastAsia="zh-CN"/>
              </w:rPr>
              <w:t>（</w:t>
            </w:r>
            <w:r>
              <w:rPr>
                <w:rFonts w:ascii="仿宋_GB2312" w:hAnsi="Times New Roman" w:eastAsia="仿宋_GB2312" w:cs="仿宋_GB2312"/>
                <w:color w:val="000000"/>
                <w:kern w:val="0"/>
                <w:sz w:val="24"/>
                <w:szCs w:val="24"/>
              </w:rPr>
              <w:t>IG</w:t>
            </w:r>
            <w:r>
              <w:rPr>
                <w:rFonts w:hint="eastAsia" w:ascii="仿宋_GB2312" w:hAnsi="Times New Roman" w:eastAsia="仿宋_GB2312" w:cs="仿宋_GB2312"/>
                <w:color w:val="000000"/>
                <w:kern w:val="0"/>
                <w:sz w:val="24"/>
                <w:szCs w:val="24"/>
                <w:lang w:eastAsia="zh-CN"/>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污水集中处理设施</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13</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新建工业建筑中</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14</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新建公共建筑中</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500</w:t>
            </w:r>
            <w:r>
              <w:rPr>
                <w:rFonts w:hint="eastAsia" w:ascii="仿宋_GB2312" w:hAnsi="Times New Roman" w:eastAsia="仿宋_GB2312" w:cs="仿宋_GB2312"/>
                <w:color w:val="000000"/>
                <w:kern w:val="0"/>
                <w:sz w:val="24"/>
                <w:szCs w:val="24"/>
              </w:rPr>
              <w:t>米公交站点覆盖率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节能与新能源公交车比例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产业</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CG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17</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高技术产业产值占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园区工业总产值比例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18</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绿色产业增加值占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园区工业增加值比例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人均工业增加值</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人</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现代服务业比例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生态环境</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r>
              <w:rPr>
                <w:rFonts w:ascii="仿宋_GB2312" w:hAnsi="Times New Roman" w:eastAsia="仿宋_GB2312" w:cs="仿宋_GB2312"/>
                <w:color w:val="000000"/>
                <w:kern w:val="0"/>
                <w:sz w:val="24"/>
                <w:szCs w:val="24"/>
              </w:rPr>
              <w:t>HG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21</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工业固体废弃物（含危废）</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处置利用率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22</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万元工业增加值碳排放量</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消减率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单位工业增加值废水排放量</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t/</w:t>
            </w:r>
            <w:r>
              <w:rPr>
                <w:rFonts w:hint="eastAsia" w:ascii="仿宋_GB2312" w:hAnsi="Times New Roman" w:eastAsia="仿宋_GB2312" w:cs="仿宋_GB2312"/>
                <w:color w:val="000000"/>
                <w:kern w:val="0"/>
                <w:sz w:val="24"/>
                <w:szCs w:val="24"/>
              </w:rPr>
              <w:t>万元</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主要污染物弹性系数</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园区空气质量优良率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绿化覆盖率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道路遮荫比例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露天停车场遮荫比例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运行管理</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MG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绿色园区标准体系完善程度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编制绿色园区发展规划</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绿色园区信息平台完善程度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bl>
    <w:p>
      <w:pPr>
        <w:spacing w:line="360" w:lineRule="auto"/>
        <w:jc w:val="center"/>
        <w:rPr>
          <w:rFonts w:ascii="黑体" w:hAnsi="黑体" w:eastAsia="黑体" w:cs="Times New Roman"/>
          <w:color w:val="000000"/>
          <w:sz w:val="30"/>
          <w:szCs w:val="30"/>
        </w:rPr>
      </w:pPr>
    </w:p>
    <w:p>
      <w:pPr>
        <w:spacing w:line="360" w:lineRule="auto"/>
        <w:jc w:val="center"/>
        <w:rPr>
          <w:rFonts w:ascii="方正小标宋简体" w:eastAsia="方正小标宋简体" w:cs="Times New Roman"/>
          <w:color w:val="000000"/>
          <w:sz w:val="30"/>
          <w:szCs w:val="30"/>
        </w:rPr>
      </w:pPr>
      <w:r>
        <w:rPr>
          <w:rFonts w:hint="eastAsia" w:ascii="黑体" w:hAnsi="黑体" w:eastAsia="黑体" w:cs="黑体"/>
          <w:color w:val="000000"/>
          <w:sz w:val="30"/>
          <w:szCs w:val="30"/>
        </w:rPr>
        <w:t>第</w:t>
      </w:r>
      <w:r>
        <w:rPr>
          <w:rFonts w:ascii="黑体" w:hAnsi="黑体" w:eastAsia="黑体" w:cs="黑体"/>
          <w:color w:val="000000"/>
          <w:sz w:val="30"/>
          <w:szCs w:val="30"/>
        </w:rPr>
        <w:t>2</w:t>
      </w:r>
      <w:r>
        <w:rPr>
          <w:rFonts w:hint="eastAsia" w:ascii="黑体" w:hAnsi="黑体" w:eastAsia="黑体" w:cs="黑体"/>
          <w:color w:val="000000"/>
          <w:sz w:val="30"/>
          <w:szCs w:val="30"/>
        </w:rPr>
        <w:t>年（</w:t>
      </w:r>
      <w:r>
        <w:rPr>
          <w:rFonts w:ascii="黑体" w:hAnsi="黑体" w:eastAsia="黑体" w:cs="黑体"/>
          <w:color w:val="000000"/>
          <w:sz w:val="30"/>
          <w:szCs w:val="30"/>
          <w:u w:val="single"/>
        </w:rPr>
        <w:t xml:space="preserve">      </w:t>
      </w:r>
      <w:r>
        <w:rPr>
          <w:rFonts w:hint="eastAsia" w:ascii="黑体" w:hAnsi="黑体" w:eastAsia="黑体" w:cs="黑体"/>
          <w:color w:val="000000"/>
          <w:sz w:val="30"/>
          <w:szCs w:val="30"/>
        </w:rPr>
        <w:t xml:space="preserve"> 年）指标数据清单</w:t>
      </w:r>
    </w:p>
    <w:tbl>
      <w:tblP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一级指标</w:t>
            </w:r>
          </w:p>
        </w:tc>
        <w:tc>
          <w:tcPr>
            <w:tcW w:w="878"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序号</w:t>
            </w:r>
          </w:p>
        </w:tc>
        <w:tc>
          <w:tcPr>
            <w:tcW w:w="3233" w:type="dxa"/>
            <w:vAlign w:val="center"/>
          </w:tcPr>
          <w:p>
            <w:pPr>
              <w:adjustRightInd w:val="0"/>
              <w:snapToGrid w:val="0"/>
              <w:ind w:firstLine="562"/>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二级指标</w:t>
            </w:r>
          </w:p>
        </w:tc>
        <w:tc>
          <w:tcPr>
            <w:tcW w:w="1276"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指标单位</w:t>
            </w:r>
          </w:p>
        </w:tc>
        <w:tc>
          <w:tcPr>
            <w:tcW w:w="1587"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指标数据</w:t>
            </w:r>
          </w:p>
        </w:tc>
        <w:tc>
          <w:tcPr>
            <w:tcW w:w="1363"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EG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能源产出率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/tce</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可再生能源使用比例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清洁能源使用率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资源利用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lang w:val="en-US" w:eastAsia="zh-CN"/>
              </w:rPr>
              <w:t>R</w:t>
            </w:r>
            <w:r>
              <w:rPr>
                <w:rFonts w:ascii="仿宋_GB2312" w:hAnsi="Times New Roman" w:eastAsia="仿宋_GB2312" w:cs="仿宋_GB2312"/>
                <w:color w:val="000000"/>
                <w:kern w:val="0"/>
                <w:sz w:val="24"/>
                <w:szCs w:val="24"/>
              </w:rPr>
              <w:t>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水资源产出率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元</w:t>
            </w:r>
            <w:r>
              <w:rPr>
                <w:rFonts w:ascii="仿宋_GB2312" w:hAnsi="Times New Roman" w:eastAsia="仿宋_GB2312" w:cs="仿宋_GB2312"/>
                <w:color w:val="000000"/>
                <w:kern w:val="0"/>
                <w:sz w:val="24"/>
                <w:szCs w:val="24"/>
              </w:rPr>
              <w:t>/m</w:t>
            </w:r>
            <w:r>
              <w:rPr>
                <w:rFonts w:ascii="仿宋_GB2312" w:hAnsi="Times New Roman" w:eastAsia="仿宋_GB2312" w:cs="仿宋_GB2312"/>
                <w:color w:val="000000"/>
                <w:kern w:val="0"/>
                <w:sz w:val="24"/>
                <w:szCs w:val="24"/>
                <w:vertAlign w:val="superscript"/>
              </w:rPr>
              <w:t>3</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土地资源产出率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亿元</w:t>
            </w:r>
            <w:r>
              <w:rPr>
                <w:rFonts w:ascii="仿宋_GB2312" w:hAnsi="Times New Roman" w:eastAsia="仿宋_GB2312" w:cs="仿宋_GB2312"/>
                <w:color w:val="000000"/>
                <w:kern w:val="0"/>
                <w:sz w:val="24"/>
                <w:szCs w:val="24"/>
              </w:rPr>
              <w:t>/km</w:t>
            </w:r>
            <w:r>
              <w:rPr>
                <w:rFonts w:ascii="仿宋_GB2312" w:hAnsi="Times New Roman" w:eastAsia="仿宋_GB2312" w:cs="仿宋_GB2312"/>
                <w:color w:val="000000"/>
                <w:kern w:val="0"/>
                <w:sz w:val="24"/>
                <w:szCs w:val="24"/>
                <w:vertAlign w:val="superscript"/>
              </w:rPr>
              <w:t>2</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工业固体废弃物综合利用率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工业用水重复利用率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中水回用率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余热资源回收利用率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废气资源回收利用率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再生资源回收利用率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基础设施</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r>
              <w:rPr>
                <w:rFonts w:hint="eastAsia" w:ascii="仿宋_GB2312" w:hAnsi="Times New Roman" w:eastAsia="仿宋_GB2312" w:cs="仿宋_GB2312"/>
                <w:color w:val="000000"/>
                <w:kern w:val="0"/>
                <w:sz w:val="24"/>
                <w:szCs w:val="24"/>
                <w:lang w:val="en-US" w:eastAsia="zh-CN"/>
              </w:rPr>
              <w:t>I</w:t>
            </w:r>
            <w:r>
              <w:rPr>
                <w:rFonts w:ascii="仿宋_GB2312" w:hAnsi="Times New Roman" w:eastAsia="仿宋_GB2312" w:cs="仿宋_GB2312"/>
                <w:color w:val="000000"/>
                <w:kern w:val="0"/>
                <w:sz w:val="24"/>
                <w:szCs w:val="24"/>
              </w:rPr>
              <w:t>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污水集中处理设施</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新建工业建筑中绿色建筑的比例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新建公共建筑中绿色建筑的比例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500</w:t>
            </w:r>
            <w:r>
              <w:rPr>
                <w:rFonts w:hint="eastAsia" w:ascii="仿宋_GB2312" w:hAnsi="Times New Roman" w:eastAsia="仿宋_GB2312" w:cs="仿宋_GB2312"/>
                <w:color w:val="000000"/>
                <w:kern w:val="0"/>
                <w:sz w:val="24"/>
                <w:szCs w:val="24"/>
              </w:rPr>
              <w:t>米公交站点覆盖率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节能与新能源公交车比例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产业</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r>
              <w:rPr>
                <w:rFonts w:ascii="仿宋_GB2312" w:hAnsi="Times New Roman" w:eastAsia="仿宋_GB2312" w:cs="仿宋_GB2312"/>
                <w:color w:val="000000"/>
                <w:kern w:val="0"/>
                <w:sz w:val="24"/>
                <w:szCs w:val="24"/>
              </w:rPr>
              <w:t>CG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17</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高技术产业产值占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园区工业总产值比例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18</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绿色产业增加值占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园区工业增加值比例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人均工业增加值</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人</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现代服务业比例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生态环境</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r>
              <w:rPr>
                <w:rFonts w:ascii="仿宋_GB2312" w:hAnsi="Times New Roman" w:eastAsia="仿宋_GB2312" w:cs="仿宋_GB2312"/>
                <w:color w:val="000000"/>
                <w:kern w:val="0"/>
                <w:sz w:val="24"/>
                <w:szCs w:val="24"/>
              </w:rPr>
              <w:t>HG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21</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工业固体废弃物（含危废）</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处置利用率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22</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万元工业增加值碳排放量</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消减率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单位工业增加值废水排放量</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t/</w:t>
            </w:r>
            <w:r>
              <w:rPr>
                <w:rFonts w:hint="eastAsia" w:ascii="仿宋_GB2312" w:hAnsi="Times New Roman" w:eastAsia="仿宋_GB2312" w:cs="仿宋_GB2312"/>
                <w:color w:val="000000"/>
                <w:kern w:val="0"/>
                <w:sz w:val="24"/>
                <w:szCs w:val="24"/>
              </w:rPr>
              <w:t>万元</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主要污染物弹性系数</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园区空气质量优良率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绿化覆盖率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道路遮荫比例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露天停车场遮荫比例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运行管理</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w:t>
            </w:r>
            <w:r>
              <w:rPr>
                <w:rFonts w:hint="eastAsia" w:ascii="仿宋_GB2312" w:hAnsi="Times New Roman" w:eastAsia="仿宋_GB2312" w:cs="仿宋_GB2312"/>
                <w:color w:val="000000"/>
                <w:kern w:val="0"/>
                <w:sz w:val="24"/>
                <w:szCs w:val="24"/>
                <w:lang w:eastAsia="zh-CN"/>
              </w:rPr>
              <w:t>化</w:t>
            </w:r>
            <w:r>
              <w:rPr>
                <w:rFonts w:hint="eastAsia" w:ascii="仿宋_GB2312" w:hAnsi="Times New Roman" w:eastAsia="仿宋_GB2312" w:cs="仿宋_GB2312"/>
                <w:color w:val="000000"/>
                <w:kern w:val="0"/>
                <w:sz w:val="24"/>
                <w:szCs w:val="24"/>
              </w:rPr>
              <w:t>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MG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绿色园区标准体系完善程度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编制绿色园区发展规划</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绿色园区信息平台完善程度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bl>
    <w:p>
      <w:pPr>
        <w:spacing w:line="360" w:lineRule="auto"/>
        <w:jc w:val="center"/>
        <w:rPr>
          <w:rFonts w:ascii="黑体" w:hAnsi="黑体" w:eastAsia="黑体" w:cs="Times New Roman"/>
          <w:color w:val="000000"/>
          <w:sz w:val="30"/>
          <w:szCs w:val="30"/>
        </w:rPr>
      </w:pPr>
    </w:p>
    <w:p>
      <w:pPr>
        <w:spacing w:line="360" w:lineRule="auto"/>
        <w:jc w:val="center"/>
        <w:rPr>
          <w:rFonts w:ascii="方正小标宋简体" w:eastAsia="方正小标宋简体" w:cs="Times New Roman"/>
          <w:color w:val="000000"/>
          <w:sz w:val="30"/>
          <w:szCs w:val="30"/>
        </w:rPr>
      </w:pPr>
      <w:r>
        <w:rPr>
          <w:rFonts w:hint="eastAsia" w:ascii="黑体" w:hAnsi="黑体" w:eastAsia="黑体" w:cs="黑体"/>
          <w:color w:val="000000"/>
          <w:sz w:val="30"/>
          <w:szCs w:val="30"/>
        </w:rPr>
        <w:t>第</w:t>
      </w:r>
      <w:r>
        <w:rPr>
          <w:rFonts w:ascii="黑体" w:hAnsi="黑体" w:eastAsia="黑体" w:cs="黑体"/>
          <w:color w:val="000000"/>
          <w:sz w:val="30"/>
          <w:szCs w:val="30"/>
        </w:rPr>
        <w:t>3</w:t>
      </w:r>
      <w:r>
        <w:rPr>
          <w:rFonts w:hint="eastAsia" w:ascii="黑体" w:hAnsi="黑体" w:eastAsia="黑体" w:cs="黑体"/>
          <w:color w:val="000000"/>
          <w:sz w:val="30"/>
          <w:szCs w:val="30"/>
        </w:rPr>
        <w:t>年（</w:t>
      </w:r>
      <w:r>
        <w:rPr>
          <w:rFonts w:hint="eastAsia" w:ascii="黑体" w:hAnsi="黑体" w:eastAsia="黑体" w:cs="黑体"/>
          <w:color w:val="000000"/>
          <w:sz w:val="30"/>
          <w:szCs w:val="30"/>
          <w:u w:val="single"/>
        </w:rPr>
        <w:t xml:space="preserve">      </w:t>
      </w:r>
      <w:r>
        <w:rPr>
          <w:rFonts w:hint="eastAsia" w:ascii="黑体" w:hAnsi="黑体" w:eastAsia="黑体" w:cs="黑体"/>
          <w:color w:val="000000"/>
          <w:sz w:val="30"/>
          <w:szCs w:val="30"/>
        </w:rPr>
        <w:t xml:space="preserve"> 年）指标数据清单</w:t>
      </w:r>
    </w:p>
    <w:tbl>
      <w:tblP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一级指标</w:t>
            </w:r>
          </w:p>
        </w:tc>
        <w:tc>
          <w:tcPr>
            <w:tcW w:w="878"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序号</w:t>
            </w:r>
          </w:p>
        </w:tc>
        <w:tc>
          <w:tcPr>
            <w:tcW w:w="3233" w:type="dxa"/>
            <w:vAlign w:val="center"/>
          </w:tcPr>
          <w:p>
            <w:pPr>
              <w:adjustRightInd w:val="0"/>
              <w:snapToGrid w:val="0"/>
              <w:ind w:firstLine="562"/>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二级指标</w:t>
            </w:r>
          </w:p>
        </w:tc>
        <w:tc>
          <w:tcPr>
            <w:tcW w:w="1276"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指标单位</w:t>
            </w:r>
          </w:p>
        </w:tc>
        <w:tc>
          <w:tcPr>
            <w:tcW w:w="1587"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指标数据</w:t>
            </w:r>
          </w:p>
        </w:tc>
        <w:tc>
          <w:tcPr>
            <w:tcW w:w="1363"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能源利用</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绿色化指标</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EG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能源产出率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万元</w:t>
            </w:r>
            <w:r>
              <w:rPr>
                <w:rFonts w:ascii="仿宋" w:hAnsi="仿宋" w:eastAsia="仿宋" w:cs="仿宋"/>
                <w:color w:val="000000"/>
                <w:kern w:val="0"/>
                <w:sz w:val="24"/>
                <w:szCs w:val="24"/>
              </w:rPr>
              <w:t>/tce</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可再生能源使用比例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3</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清洁能源使用率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资源利用</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绿色化指标</w:t>
            </w:r>
          </w:p>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R</w:t>
            </w:r>
            <w:r>
              <w:rPr>
                <w:rFonts w:ascii="仿宋" w:hAnsi="仿宋" w:eastAsia="仿宋" w:cs="仿宋"/>
                <w:color w:val="000000"/>
                <w:kern w:val="0"/>
                <w:sz w:val="24"/>
                <w:szCs w:val="24"/>
              </w:rPr>
              <w:t>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水资源产出率</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元</w:t>
            </w:r>
            <w:r>
              <w:rPr>
                <w:rFonts w:ascii="仿宋" w:hAnsi="仿宋" w:eastAsia="仿宋" w:cs="仿宋"/>
                <w:color w:val="000000"/>
                <w:kern w:val="0"/>
                <w:sz w:val="24"/>
                <w:szCs w:val="24"/>
              </w:rPr>
              <w:t>/m</w:t>
            </w:r>
            <w:r>
              <w:rPr>
                <w:rFonts w:ascii="仿宋" w:hAnsi="仿宋" w:eastAsia="仿宋" w:cs="仿宋"/>
                <w:color w:val="000000"/>
                <w:kern w:val="0"/>
                <w:sz w:val="24"/>
                <w:szCs w:val="24"/>
                <w:vertAlign w:val="superscript"/>
              </w:rPr>
              <w:t>3</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土地资源产出率</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亿元</w:t>
            </w:r>
            <w:r>
              <w:rPr>
                <w:rFonts w:ascii="仿宋" w:hAnsi="仿宋" w:eastAsia="仿宋" w:cs="仿宋"/>
                <w:color w:val="000000"/>
                <w:kern w:val="0"/>
                <w:sz w:val="24"/>
                <w:szCs w:val="24"/>
              </w:rPr>
              <w:t>/km</w:t>
            </w:r>
            <w:r>
              <w:rPr>
                <w:rFonts w:ascii="仿宋" w:hAnsi="仿宋" w:eastAsia="仿宋" w:cs="仿宋"/>
                <w:color w:val="000000"/>
                <w:kern w:val="0"/>
                <w:sz w:val="24"/>
                <w:szCs w:val="24"/>
                <w:vertAlign w:val="superscript"/>
              </w:rPr>
              <w:t>2</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6</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工业固体废弃物综合利用率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7</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工业用水重复利用率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8</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中水回用率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9</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余热资源回收利用率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10</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废气资源回收利用率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11</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再生资源回收利用率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基础设施</w:t>
            </w:r>
          </w:p>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绿色化指标</w:t>
            </w:r>
            <w:r>
              <w:rPr>
                <w:rFonts w:hint="eastAsia" w:ascii="仿宋" w:hAnsi="仿宋" w:eastAsia="仿宋" w:cs="仿宋"/>
                <w:color w:val="000000"/>
                <w:kern w:val="0"/>
                <w:sz w:val="24"/>
                <w:szCs w:val="24"/>
                <w:lang w:eastAsia="zh-CN"/>
              </w:rPr>
              <w:t>（</w:t>
            </w:r>
            <w:r>
              <w:rPr>
                <w:rFonts w:ascii="仿宋" w:hAnsi="仿宋" w:eastAsia="仿宋" w:cs="仿宋"/>
                <w:color w:val="000000"/>
                <w:kern w:val="0"/>
                <w:sz w:val="24"/>
                <w:szCs w:val="24"/>
              </w:rPr>
              <w:t>IG</w:t>
            </w:r>
            <w:r>
              <w:rPr>
                <w:rFonts w:hint="eastAsia" w:ascii="仿宋" w:hAnsi="仿宋" w:eastAsia="仿宋" w:cs="仿宋"/>
                <w:color w:val="000000"/>
                <w:kern w:val="0"/>
                <w:sz w:val="24"/>
                <w:szCs w:val="24"/>
                <w:lang w:eastAsia="zh-CN"/>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12</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污水集中处理设施</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13</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新建工业建筑中</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绿色建筑的比例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14</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新建公共建筑中</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绿色建筑的比例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15</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ascii="仿宋" w:hAnsi="仿宋" w:eastAsia="仿宋" w:cs="仿宋"/>
                <w:color w:val="000000"/>
                <w:kern w:val="0"/>
                <w:sz w:val="24"/>
                <w:szCs w:val="24"/>
              </w:rPr>
              <w:t>500</w:t>
            </w:r>
            <w:r>
              <w:rPr>
                <w:rFonts w:hint="eastAsia" w:ascii="仿宋" w:hAnsi="仿宋" w:eastAsia="仿宋" w:cs="仿宋"/>
                <w:color w:val="000000"/>
                <w:kern w:val="0"/>
                <w:sz w:val="24"/>
                <w:szCs w:val="24"/>
              </w:rPr>
              <w:t>米公交站点覆盖率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16</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节能与新能源公交车比例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产业</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绿色化指标</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CG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17</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高技术产业产值占</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园区工业总产值比例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18</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绿色产业增加值占</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园区工业增加值比例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19</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人均工业增加值</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万元</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人</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Merge w:val="restart"/>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20</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现代服务业比例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生态环境</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绿色化指标</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HG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21</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工业固体废弃物（含危废）</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处置利用率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22</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万元工业增加值碳排放量</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消减率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23</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单位工业增加值废水排放量</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ascii="仿宋" w:hAnsi="仿宋" w:eastAsia="仿宋" w:cs="仿宋"/>
                <w:color w:val="000000"/>
                <w:kern w:val="0"/>
                <w:sz w:val="24"/>
                <w:szCs w:val="24"/>
              </w:rPr>
              <w:t>t/</w:t>
            </w:r>
            <w:r>
              <w:rPr>
                <w:rFonts w:hint="eastAsia" w:ascii="仿宋" w:hAnsi="仿宋" w:eastAsia="仿宋" w:cs="仿宋"/>
                <w:color w:val="000000"/>
                <w:kern w:val="0"/>
                <w:sz w:val="24"/>
                <w:szCs w:val="24"/>
              </w:rPr>
              <w:t>万元</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24</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主要污染物弹性系数</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25</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园区空气质量优良率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26</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绿化覆盖率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27</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道路遮荫比例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28</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露天停车场遮荫比例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运行管理</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绿色化指标（</w:t>
            </w:r>
            <w:r>
              <w:rPr>
                <w:rFonts w:ascii="仿宋" w:hAnsi="仿宋" w:eastAsia="仿宋" w:cs="仿宋"/>
                <w:color w:val="000000"/>
                <w:kern w:val="0"/>
                <w:sz w:val="24"/>
                <w:szCs w:val="24"/>
              </w:rPr>
              <w:t>MG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29</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绿色园区标准体系完善程度</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30</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编制绿色园区发展规划</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31</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绿色园区信息平台完善程度</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bl>
    <w:p>
      <w:pPr>
        <w:spacing w:line="360" w:lineRule="auto"/>
        <w:rPr>
          <w:rFonts w:cs="Times New Roman"/>
          <w:color w:val="000000"/>
        </w:rPr>
      </w:pPr>
    </w:p>
    <w:p>
      <w:pPr>
        <w:spacing w:line="360" w:lineRule="auto"/>
        <w:rPr>
          <w:rFonts w:cs="Times New Roman"/>
          <w:color w:val="000000"/>
        </w:rPr>
        <w:sectPr>
          <w:pgSz w:w="11906" w:h="16838"/>
          <w:pgMar w:top="1440" w:right="1800" w:bottom="1440" w:left="1800" w:header="851" w:footer="992" w:gutter="0"/>
          <w:pgNumType w:fmt="numberInDash"/>
          <w:cols w:space="720" w:num="1"/>
          <w:docGrid w:type="lines" w:linePitch="312" w:charSpace="0"/>
        </w:sectPr>
      </w:pPr>
    </w:p>
    <w:p>
      <w:pPr>
        <w:rPr>
          <w:rFonts w:ascii="黑体" w:hAnsi="黑体" w:eastAsia="黑体" w:cs="黑体"/>
          <w:color w:val="000000"/>
          <w:sz w:val="32"/>
          <w:szCs w:val="32"/>
        </w:rPr>
      </w:pPr>
      <w:r>
        <w:rPr>
          <w:rFonts w:hint="eastAsia" w:ascii="黑体" w:hAnsi="黑体" w:eastAsia="黑体" w:cs="黑体"/>
          <w:color w:val="000000"/>
          <w:sz w:val="32"/>
          <w:szCs w:val="32"/>
        </w:rPr>
        <w:t>附3</w:t>
      </w:r>
      <w:r>
        <w:rPr>
          <w:rFonts w:ascii="黑体" w:hAnsi="黑体" w:eastAsia="黑体" w:cs="黑体"/>
          <w:color w:val="000000"/>
          <w:sz w:val="32"/>
          <w:szCs w:val="32"/>
        </w:rPr>
        <w:t>-2</w:t>
      </w: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spacing w:line="360" w:lineRule="auto"/>
        <w:rPr>
          <w:rFonts w:ascii="方正小标宋简体" w:eastAsia="方正小标宋简体" w:cs="Times New Roman"/>
          <w:color w:val="000000"/>
          <w:sz w:val="52"/>
          <w:szCs w:val="52"/>
        </w:rPr>
      </w:pPr>
    </w:p>
    <w:p>
      <w:pPr>
        <w:spacing w:line="360" w:lineRule="auto"/>
        <w:jc w:val="center"/>
        <w:outlineLvl w:val="0"/>
        <w:rPr>
          <w:rFonts w:ascii="黑体" w:hAnsi="黑体" w:eastAsia="黑体" w:cs="Times New Roman"/>
          <w:color w:val="000000"/>
          <w:sz w:val="52"/>
          <w:szCs w:val="52"/>
        </w:rPr>
      </w:pPr>
      <w:bookmarkStart w:id="2" w:name="_Toc515598808"/>
      <w:bookmarkStart w:id="3" w:name="_Toc515598851"/>
      <w:r>
        <w:rPr>
          <w:rFonts w:hint="eastAsia" w:ascii="黑体" w:hAnsi="黑体" w:eastAsia="黑体" w:cs="黑体"/>
          <w:color w:val="000000"/>
          <w:sz w:val="52"/>
          <w:szCs w:val="52"/>
        </w:rPr>
        <w:t>绿色园区第三方评价报告</w:t>
      </w:r>
      <w:bookmarkEnd w:id="2"/>
      <w:bookmarkEnd w:id="3"/>
    </w:p>
    <w:p>
      <w:pPr>
        <w:rPr>
          <w:rFonts w:ascii="仿宋_GB2312" w:hAnsi="仿宋_GB2312" w:eastAsia="仿宋_GB2312" w:cs="Times New Roman"/>
          <w:color w:val="000000"/>
          <w:sz w:val="28"/>
          <w:szCs w:val="28"/>
        </w:rPr>
      </w:pPr>
    </w:p>
    <w:p>
      <w:pPr>
        <w:rPr>
          <w:rFonts w:ascii="仿宋_GB2312" w:hAnsi="仿宋_GB2312" w:eastAsia="仿宋_GB2312" w:cs="Times New Roman"/>
          <w:color w:val="000000"/>
          <w:sz w:val="28"/>
          <w:szCs w:val="28"/>
        </w:rPr>
      </w:pPr>
    </w:p>
    <w:p>
      <w:pPr>
        <w:rPr>
          <w:rFonts w:ascii="方正仿宋简体" w:hAnsi="方正仿宋简体" w:eastAsia="方正仿宋简体" w:cs="Times New Roman"/>
          <w:color w:val="000000"/>
          <w:sz w:val="32"/>
          <w:szCs w:val="32"/>
        </w:rPr>
      </w:pPr>
    </w:p>
    <w:p>
      <w:pPr>
        <w:rPr>
          <w:rFonts w:ascii="方正仿宋简体" w:hAnsi="方正仿宋简体" w:eastAsia="方正仿宋简体" w:cs="Times New Roman"/>
          <w:color w:val="000000"/>
          <w:sz w:val="32"/>
          <w:szCs w:val="32"/>
        </w:rPr>
      </w:pPr>
    </w:p>
    <w:p>
      <w:pPr>
        <w:rPr>
          <w:rFonts w:ascii="方正仿宋简体" w:hAnsi="方正仿宋简体" w:eastAsia="方正仿宋简体" w:cs="Times New Roman"/>
          <w:color w:val="000000"/>
          <w:sz w:val="32"/>
          <w:szCs w:val="32"/>
        </w:rPr>
      </w:pPr>
    </w:p>
    <w:p>
      <w:pPr>
        <w:spacing w:line="360" w:lineRule="auto"/>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园区名称：</w:t>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hint="eastAsia" w:ascii="Times New Roman" w:hAnsi="Times New Roman" w:eastAsia="仿宋_GB2312" w:cs="Times New Roman"/>
          <w:color w:val="000000"/>
          <w:sz w:val="32"/>
          <w:szCs w:val="32"/>
          <w:u w:val="single"/>
        </w:rPr>
        <w:t xml:space="preserve">                   </w:t>
      </w:r>
    </w:p>
    <w:p>
      <w:pPr>
        <w:spacing w:line="360" w:lineRule="auto"/>
        <w:rPr>
          <w:rFonts w:ascii="Times New Roman" w:hAnsi="Times New Roman" w:eastAsia="仿宋_GB2312" w:cs="Times New Roman"/>
          <w:color w:val="000000"/>
          <w:sz w:val="32"/>
          <w:szCs w:val="32"/>
        </w:rPr>
      </w:pPr>
    </w:p>
    <w:p>
      <w:pPr>
        <w:spacing w:line="360" w:lineRule="auto"/>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第三方评价机构名称：</w:t>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ascii="Times New Roman" w:hAnsi="Times New Roman" w:eastAsia="仿宋_GB2312" w:cs="Times New Roman"/>
          <w:color w:val="000000"/>
          <w:sz w:val="32"/>
          <w:szCs w:val="32"/>
          <w:u w:val="single"/>
        </w:rPr>
        <w:tab/>
      </w:r>
      <w:r>
        <w:rPr>
          <w:rFonts w:hint="eastAsia" w:ascii="Times New Roman" w:hAnsi="Times New Roman" w:eastAsia="仿宋_GB2312" w:cs="Times New Roman"/>
          <w:color w:val="000000"/>
          <w:sz w:val="32"/>
          <w:szCs w:val="32"/>
          <w:u w:val="single"/>
        </w:rPr>
        <w:t xml:space="preserve">         </w:t>
      </w:r>
    </w:p>
    <w:p>
      <w:pPr>
        <w:spacing w:line="360" w:lineRule="auto"/>
        <w:rPr>
          <w:rFonts w:ascii="Times New Roman" w:hAnsi="Times New Roman" w:eastAsia="仿宋_GB2312" w:cs="Times New Roman"/>
          <w:color w:val="000000"/>
          <w:sz w:val="32"/>
          <w:szCs w:val="32"/>
        </w:rPr>
      </w:pPr>
    </w:p>
    <w:p>
      <w:pPr>
        <w:rPr>
          <w:rFonts w:ascii="方正仿宋简体" w:hAnsi="方正仿宋简体" w:eastAsia="方正仿宋简体" w:cs="Times New Roman"/>
          <w:color w:val="000000"/>
          <w:sz w:val="32"/>
          <w:szCs w:val="32"/>
        </w:rPr>
      </w:pPr>
    </w:p>
    <w:p>
      <w:pPr>
        <w:rPr>
          <w:rFonts w:ascii="方正仿宋简体" w:hAnsi="方正仿宋简体" w:eastAsia="方正仿宋简体" w:cs="Times New Roman"/>
          <w:color w:val="000000"/>
          <w:sz w:val="32"/>
          <w:szCs w:val="32"/>
        </w:rPr>
      </w:pPr>
    </w:p>
    <w:p>
      <w:pPr>
        <w:jc w:val="center"/>
        <w:rPr>
          <w:rFonts w:ascii="仿宋_GB2312" w:hAnsi="仿宋_GB2312" w:eastAsia="仿宋_GB2312" w:cs="Times New Roman"/>
          <w:color w:val="000000"/>
          <w:sz w:val="30"/>
          <w:szCs w:val="30"/>
        </w:rPr>
      </w:pPr>
    </w:p>
    <w:p>
      <w:pPr>
        <w:jc w:val="center"/>
        <w:rPr>
          <w:rFonts w:ascii="仿宋_GB2312" w:hAnsi="仿宋_GB2312" w:eastAsia="仿宋_GB2312" w:cs="Times New Roman"/>
          <w:color w:val="000000"/>
          <w:sz w:val="30"/>
          <w:szCs w:val="30"/>
        </w:rPr>
      </w:pPr>
      <w:r>
        <w:rPr>
          <w:rFonts w:ascii="仿宋_GB2312" w:hAnsi="仿宋_GB2312" w:eastAsia="仿宋_GB2312" w:cs="仿宋_GB2312"/>
          <w:color w:val="000000"/>
          <w:sz w:val="30"/>
          <w:szCs w:val="30"/>
        </w:rPr>
        <w:t xml:space="preserve">20  </w:t>
      </w:r>
      <w:r>
        <w:rPr>
          <w:rFonts w:hint="eastAsia" w:ascii="仿宋_GB2312" w:hAnsi="仿宋_GB2312" w:eastAsia="仿宋_GB2312" w:cs="仿宋_GB2312"/>
          <w:color w:val="000000"/>
          <w:sz w:val="30"/>
          <w:szCs w:val="30"/>
        </w:rPr>
        <w:t>年   月   日</w:t>
      </w:r>
    </w:p>
    <w:p>
      <w:pPr>
        <w:rPr>
          <w:rFonts w:ascii="仿宋_GB2312" w:eastAsia="仿宋_GB2312" w:cs="Times New Roman"/>
          <w:color w:val="000000"/>
          <w:sz w:val="32"/>
          <w:szCs w:val="32"/>
        </w:rPr>
        <w:sectPr>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仿宋_GB2312" w:eastAsia="仿宋_GB2312" w:cs="Times New Roman"/>
          <w:color w:val="000000"/>
          <w:sz w:val="28"/>
          <w:szCs w:val="28"/>
        </w:rPr>
      </w:pPr>
      <w:r>
        <w:rPr>
          <w:rFonts w:hint="eastAsia" w:ascii="黑体" w:hAnsi="黑体" w:eastAsia="黑体" w:cs="黑体"/>
          <w:color w:val="000000"/>
          <w:sz w:val="32"/>
          <w:szCs w:val="32"/>
        </w:rPr>
        <w:t>基本信息表</w:t>
      </w:r>
    </w:p>
    <w:tbl>
      <w:tblPr>
        <w:tblW w:w="870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694"/>
        <w:gridCol w:w="2126"/>
        <w:gridCol w:w="175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705" w:type="dxa"/>
            <w:gridSpan w:val="4"/>
            <w:vAlign w:val="center"/>
          </w:tcPr>
          <w:p>
            <w:pPr>
              <w:spacing w:line="360" w:lineRule="auto"/>
              <w:rPr>
                <w:rFonts w:ascii="仿宋_GB2312" w:hAnsi="Times New Roman" w:eastAsia="仿宋_GB2312" w:cs="Times New Roman"/>
                <w:b/>
                <w:bCs/>
                <w:color w:val="000000"/>
                <w:kern w:val="0"/>
                <w:sz w:val="24"/>
                <w:szCs w:val="24"/>
              </w:rPr>
            </w:pPr>
            <w:r>
              <w:rPr>
                <w:rFonts w:hint="eastAsia" w:ascii="Times New Roman" w:hAnsi="Times New Roman" w:eastAsia="仿宋_GB2312" w:cs="仿宋_GB2312"/>
                <w:b/>
                <w:bCs/>
                <w:color w:val="000000"/>
                <w:kern w:val="0"/>
                <w:sz w:val="24"/>
                <w:szCs w:val="24"/>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color w:val="000000"/>
                <w:kern w:val="0"/>
                <w:sz w:val="24"/>
                <w:szCs w:val="24"/>
              </w:rPr>
              <w:t>园区名称</w:t>
            </w:r>
          </w:p>
        </w:tc>
        <w:tc>
          <w:tcPr>
            <w:tcW w:w="6011" w:type="dxa"/>
            <w:gridSpan w:val="3"/>
            <w:vAlign w:val="top"/>
          </w:tcPr>
          <w:p>
            <w:pPr>
              <w:spacing w:line="360" w:lineRule="auto"/>
              <w:jc w:val="center"/>
              <w:rPr>
                <w:rFonts w:ascii="仿宋_GB2312" w:hAnsi="Times New Roman" w:eastAsia="仿宋_GB2312" w:cs="Times New Roman"/>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园区地址</w:t>
            </w:r>
          </w:p>
        </w:tc>
        <w:tc>
          <w:tcPr>
            <w:tcW w:w="6011" w:type="dxa"/>
            <w:gridSpan w:val="3"/>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园区负责人</w:t>
            </w:r>
          </w:p>
        </w:tc>
        <w:tc>
          <w:tcPr>
            <w:tcW w:w="2126" w:type="dxa"/>
            <w:vAlign w:val="top"/>
          </w:tcPr>
          <w:p>
            <w:pPr>
              <w:spacing w:line="360" w:lineRule="auto"/>
              <w:jc w:val="center"/>
              <w:rPr>
                <w:rFonts w:ascii="仿宋_GB2312" w:hAnsi="Times New Roman" w:eastAsia="仿宋_GB2312" w:cs="Times New Roman"/>
                <w:color w:val="000000"/>
                <w:kern w:val="0"/>
                <w:sz w:val="24"/>
                <w:szCs w:val="24"/>
              </w:rPr>
            </w:pPr>
          </w:p>
        </w:tc>
        <w:tc>
          <w:tcPr>
            <w:tcW w:w="175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负责人电话</w:t>
            </w:r>
          </w:p>
        </w:tc>
        <w:tc>
          <w:tcPr>
            <w:tcW w:w="2131" w:type="dxa"/>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园区联系人</w:t>
            </w:r>
          </w:p>
        </w:tc>
        <w:tc>
          <w:tcPr>
            <w:tcW w:w="2126" w:type="dxa"/>
            <w:vAlign w:val="top"/>
          </w:tcPr>
          <w:p>
            <w:pPr>
              <w:spacing w:line="360" w:lineRule="auto"/>
              <w:jc w:val="center"/>
              <w:rPr>
                <w:rFonts w:ascii="仿宋_GB2312" w:hAnsi="Times New Roman" w:eastAsia="仿宋_GB2312" w:cs="Times New Roman"/>
                <w:color w:val="000000"/>
                <w:kern w:val="0"/>
                <w:sz w:val="24"/>
                <w:szCs w:val="24"/>
              </w:rPr>
            </w:pPr>
          </w:p>
        </w:tc>
        <w:tc>
          <w:tcPr>
            <w:tcW w:w="175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联系人电话</w:t>
            </w:r>
          </w:p>
        </w:tc>
        <w:tc>
          <w:tcPr>
            <w:tcW w:w="2131" w:type="dxa"/>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电子邮箱</w:t>
            </w:r>
          </w:p>
        </w:tc>
        <w:tc>
          <w:tcPr>
            <w:tcW w:w="2126" w:type="dxa"/>
            <w:vAlign w:val="top"/>
          </w:tcPr>
          <w:p>
            <w:pPr>
              <w:spacing w:line="360" w:lineRule="auto"/>
              <w:jc w:val="center"/>
              <w:rPr>
                <w:rFonts w:ascii="仿宋_GB2312" w:hAnsi="Times New Roman" w:eastAsia="仿宋_GB2312" w:cs="Times New Roman"/>
                <w:color w:val="000000"/>
                <w:kern w:val="0"/>
                <w:sz w:val="24"/>
                <w:szCs w:val="24"/>
              </w:rPr>
            </w:pPr>
          </w:p>
        </w:tc>
        <w:tc>
          <w:tcPr>
            <w:tcW w:w="175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传真</w:t>
            </w:r>
          </w:p>
        </w:tc>
        <w:tc>
          <w:tcPr>
            <w:tcW w:w="2131" w:type="dxa"/>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705" w:type="dxa"/>
            <w:gridSpan w:val="4"/>
            <w:tcBorders>
              <w:bottom w:val="nil"/>
            </w:tcBorders>
            <w:vAlign w:val="top"/>
          </w:tcPr>
          <w:p>
            <w:pPr>
              <w:spacing w:line="360" w:lineRule="auto"/>
              <w:jc w:val="left"/>
              <w:rPr>
                <w:rFonts w:ascii="仿宋_GB2312" w:hAnsi="Times New Roman" w:eastAsia="仿宋_GB2312" w:cs="Times New Roman"/>
                <w:color w:val="000000"/>
                <w:kern w:val="0"/>
                <w:sz w:val="24"/>
                <w:szCs w:val="24"/>
              </w:rPr>
            </w:pPr>
            <w:r>
              <w:rPr>
                <w:rFonts w:hint="eastAsia" w:ascii="Times New Roman" w:hAnsi="Times New Roman" w:eastAsia="仿宋_GB2312" w:cs="仿宋_GB2312"/>
                <w:b/>
                <w:bCs/>
                <w:color w:val="000000"/>
                <w:kern w:val="0"/>
                <w:sz w:val="24"/>
                <w:szCs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第三方机构名称</w:t>
            </w:r>
          </w:p>
        </w:tc>
        <w:tc>
          <w:tcPr>
            <w:tcW w:w="6011" w:type="dxa"/>
            <w:gridSpan w:val="3"/>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第三方机构地址</w:t>
            </w:r>
          </w:p>
        </w:tc>
        <w:tc>
          <w:tcPr>
            <w:tcW w:w="6011" w:type="dxa"/>
            <w:gridSpan w:val="3"/>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机构法定代表人</w:t>
            </w:r>
          </w:p>
        </w:tc>
        <w:tc>
          <w:tcPr>
            <w:tcW w:w="2126" w:type="dxa"/>
            <w:vAlign w:val="top"/>
          </w:tcPr>
          <w:p>
            <w:pPr>
              <w:spacing w:line="360" w:lineRule="auto"/>
              <w:jc w:val="center"/>
              <w:rPr>
                <w:rFonts w:ascii="仿宋_GB2312" w:hAnsi="Times New Roman" w:eastAsia="仿宋_GB2312" w:cs="Times New Roman"/>
                <w:color w:val="000000"/>
                <w:kern w:val="0"/>
                <w:sz w:val="24"/>
                <w:szCs w:val="24"/>
              </w:rPr>
            </w:pPr>
          </w:p>
        </w:tc>
        <w:tc>
          <w:tcPr>
            <w:tcW w:w="175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法人代表电话</w:t>
            </w:r>
          </w:p>
        </w:tc>
        <w:tc>
          <w:tcPr>
            <w:tcW w:w="2131" w:type="dxa"/>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机构联系人</w:t>
            </w:r>
          </w:p>
        </w:tc>
        <w:tc>
          <w:tcPr>
            <w:tcW w:w="2126" w:type="dxa"/>
            <w:vAlign w:val="top"/>
          </w:tcPr>
          <w:p>
            <w:pPr>
              <w:spacing w:line="360" w:lineRule="auto"/>
              <w:jc w:val="center"/>
              <w:rPr>
                <w:rFonts w:ascii="仿宋_GB2312" w:hAnsi="Times New Roman" w:eastAsia="仿宋_GB2312" w:cs="Times New Roman"/>
                <w:color w:val="000000"/>
                <w:kern w:val="0"/>
                <w:sz w:val="24"/>
                <w:szCs w:val="24"/>
              </w:rPr>
            </w:pPr>
          </w:p>
        </w:tc>
        <w:tc>
          <w:tcPr>
            <w:tcW w:w="175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联系人电话</w:t>
            </w:r>
          </w:p>
        </w:tc>
        <w:tc>
          <w:tcPr>
            <w:tcW w:w="2131" w:type="dxa"/>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报告编制负责人</w:t>
            </w:r>
          </w:p>
        </w:tc>
        <w:tc>
          <w:tcPr>
            <w:tcW w:w="2126" w:type="dxa"/>
            <w:vAlign w:val="top"/>
          </w:tcPr>
          <w:p>
            <w:pPr>
              <w:spacing w:line="360" w:lineRule="auto"/>
              <w:jc w:val="center"/>
              <w:rPr>
                <w:rFonts w:ascii="仿宋_GB2312" w:hAnsi="Times New Roman" w:eastAsia="仿宋_GB2312" w:cs="Times New Roman"/>
                <w:color w:val="000000"/>
                <w:kern w:val="0"/>
                <w:sz w:val="24"/>
                <w:szCs w:val="24"/>
              </w:rPr>
            </w:pPr>
          </w:p>
        </w:tc>
        <w:tc>
          <w:tcPr>
            <w:tcW w:w="175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负责人电话</w:t>
            </w:r>
          </w:p>
        </w:tc>
        <w:tc>
          <w:tcPr>
            <w:tcW w:w="2131" w:type="dxa"/>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报告审核人</w:t>
            </w:r>
          </w:p>
        </w:tc>
        <w:tc>
          <w:tcPr>
            <w:tcW w:w="2126" w:type="dxa"/>
            <w:vAlign w:val="top"/>
          </w:tcPr>
          <w:p>
            <w:pPr>
              <w:spacing w:line="360" w:lineRule="auto"/>
              <w:jc w:val="center"/>
              <w:rPr>
                <w:rFonts w:ascii="仿宋_GB2312" w:hAnsi="Times New Roman" w:eastAsia="仿宋_GB2312" w:cs="Times New Roman"/>
                <w:color w:val="000000"/>
                <w:kern w:val="0"/>
                <w:sz w:val="24"/>
                <w:szCs w:val="24"/>
              </w:rPr>
            </w:pPr>
          </w:p>
        </w:tc>
        <w:tc>
          <w:tcPr>
            <w:tcW w:w="1754" w:type="dxa"/>
            <w:vAlign w:val="top"/>
          </w:tcPr>
          <w:p>
            <w:pPr>
              <w:spacing w:line="360" w:lineRule="auto"/>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审核人电话</w:t>
            </w:r>
          </w:p>
        </w:tc>
        <w:tc>
          <w:tcPr>
            <w:tcW w:w="2131" w:type="dxa"/>
            <w:vAlign w:val="top"/>
          </w:tcPr>
          <w:p>
            <w:pPr>
              <w:spacing w:line="360" w:lineRule="auto"/>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705" w:type="dxa"/>
            <w:gridSpan w:val="4"/>
            <w:vAlign w:val="top"/>
          </w:tcPr>
          <w:p>
            <w:pPr>
              <w:spacing w:line="360" w:lineRule="auto"/>
              <w:jc w:val="left"/>
              <w:rPr>
                <w:rFonts w:ascii="仿宋_GB2312" w:hAnsi="Times New Roman" w:eastAsia="仿宋_GB2312" w:cs="Times New Roman"/>
                <w:color w:val="000000"/>
                <w:kern w:val="0"/>
                <w:sz w:val="24"/>
                <w:szCs w:val="24"/>
              </w:rPr>
            </w:pPr>
            <w:r>
              <w:rPr>
                <w:rFonts w:hint="eastAsia" w:ascii="仿宋_GB2312" w:hAnsi="Times New Roman" w:eastAsia="仿宋_GB2312" w:cs="仿宋_GB2312"/>
                <w:b/>
                <w:bCs/>
                <w:color w:val="000000"/>
                <w:kern w:val="0"/>
                <w:sz w:val="24"/>
                <w:szCs w:val="24"/>
              </w:rPr>
              <w:t>三、绿色园区评价结果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Align w:val="center"/>
          </w:tcPr>
          <w:p>
            <w:pPr>
              <w:spacing w:line="360" w:lineRule="auto"/>
              <w:jc w:val="center"/>
              <w:rPr>
                <w:rFonts w:ascii="仿宋" w:hAnsi="仿宋" w:eastAsia="仿宋" w:cs="Times New Roman"/>
                <w:color w:val="000000"/>
                <w:sz w:val="24"/>
                <w:szCs w:val="24"/>
              </w:rPr>
            </w:pPr>
            <w:r>
              <w:rPr>
                <w:rFonts w:hint="eastAsia" w:ascii="仿宋" w:hAnsi="仿宋" w:eastAsia="仿宋" w:cs="仿宋"/>
                <w:color w:val="000000"/>
                <w:sz w:val="24"/>
                <w:szCs w:val="24"/>
              </w:rPr>
              <w:t>基本要求</w:t>
            </w:r>
          </w:p>
        </w:tc>
        <w:tc>
          <w:tcPr>
            <w:tcW w:w="6011" w:type="dxa"/>
            <w:gridSpan w:val="3"/>
            <w:vAlign w:val="center"/>
          </w:tcPr>
          <w:p>
            <w:pPr>
              <w:spacing w:line="360" w:lineRule="auto"/>
              <w:jc w:val="center"/>
              <w:rPr>
                <w:rFonts w:ascii="仿宋" w:hAnsi="仿宋" w:eastAsia="仿宋" w:cs="Times New Roman"/>
                <w:color w:val="000000"/>
                <w:sz w:val="24"/>
                <w:szCs w:val="24"/>
              </w:rPr>
            </w:pPr>
            <w:r>
              <w:rPr>
                <w:rFonts w:hint="eastAsia" w:ascii="仿宋" w:hAnsi="仿宋" w:eastAsia="仿宋" w:cs="仿宋"/>
                <w:color w:val="000000"/>
                <w:sz w:val="24"/>
                <w:szCs w:val="24"/>
              </w:rPr>
              <w:t>□符合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Merge w:val="restart"/>
            <w:vAlign w:val="center"/>
          </w:tcPr>
          <w:p>
            <w:pPr>
              <w:spacing w:line="360" w:lineRule="auto"/>
              <w:jc w:val="center"/>
              <w:rPr>
                <w:rFonts w:ascii="仿宋" w:hAnsi="仿宋" w:eastAsia="仿宋" w:cs="Times New Roman"/>
                <w:color w:val="000000"/>
                <w:sz w:val="24"/>
                <w:szCs w:val="24"/>
              </w:rPr>
            </w:pPr>
            <w:r>
              <w:rPr>
                <w:rFonts w:hint="eastAsia" w:ascii="仿宋" w:hAnsi="仿宋" w:eastAsia="仿宋" w:cs="仿宋"/>
                <w:color w:val="000000"/>
                <w:sz w:val="24"/>
                <w:szCs w:val="24"/>
              </w:rPr>
              <w:t>近三年得分情况</w:t>
            </w:r>
          </w:p>
        </w:tc>
        <w:tc>
          <w:tcPr>
            <w:tcW w:w="2126" w:type="dxa"/>
            <w:vAlign w:val="top"/>
          </w:tcPr>
          <w:p>
            <w:pPr>
              <w:spacing w:line="360" w:lineRule="auto"/>
              <w:jc w:val="center"/>
              <w:rPr>
                <w:rFonts w:ascii="仿宋" w:hAnsi="仿宋" w:eastAsia="仿宋" w:cs="Times New Roman"/>
                <w:color w:val="000000"/>
                <w:sz w:val="24"/>
                <w:szCs w:val="24"/>
              </w:rPr>
            </w:pPr>
            <w:r>
              <w:rPr>
                <w:rFonts w:hint="eastAsia" w:ascii="仿宋" w:hAnsi="仿宋" w:eastAsia="仿宋" w:cs="仿宋"/>
                <w:color w:val="000000"/>
                <w:sz w:val="24"/>
                <w:szCs w:val="24"/>
              </w:rPr>
              <w:t>第</w:t>
            </w:r>
            <w:r>
              <w:rPr>
                <w:rFonts w:ascii="仿宋" w:hAnsi="仿宋" w:eastAsia="仿宋" w:cs="仿宋"/>
                <w:color w:val="000000"/>
                <w:sz w:val="24"/>
                <w:szCs w:val="24"/>
              </w:rPr>
              <w:t>1</w:t>
            </w:r>
            <w:r>
              <w:rPr>
                <w:rFonts w:hint="eastAsia" w:ascii="仿宋" w:hAnsi="仿宋" w:eastAsia="仿宋" w:cs="仿宋"/>
                <w:color w:val="000000"/>
                <w:sz w:val="24"/>
                <w:szCs w:val="24"/>
              </w:rPr>
              <w:t>年</w:t>
            </w:r>
          </w:p>
        </w:tc>
        <w:tc>
          <w:tcPr>
            <w:tcW w:w="3885" w:type="dxa"/>
            <w:gridSpan w:val="2"/>
            <w:vAlign w:val="top"/>
          </w:tcPr>
          <w:p>
            <w:pPr>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Merge w:val="continue"/>
            <w:vAlign w:val="top"/>
          </w:tcPr>
          <w:p>
            <w:pPr>
              <w:spacing w:line="360" w:lineRule="auto"/>
              <w:jc w:val="center"/>
              <w:rPr>
                <w:rFonts w:ascii="仿宋" w:hAnsi="仿宋" w:eastAsia="仿宋" w:cs="Times New Roman"/>
                <w:color w:val="000000"/>
                <w:sz w:val="24"/>
                <w:szCs w:val="24"/>
              </w:rPr>
            </w:pPr>
          </w:p>
        </w:tc>
        <w:tc>
          <w:tcPr>
            <w:tcW w:w="2126" w:type="dxa"/>
            <w:vAlign w:val="top"/>
          </w:tcPr>
          <w:p>
            <w:pPr>
              <w:spacing w:line="360" w:lineRule="auto"/>
              <w:jc w:val="center"/>
              <w:rPr>
                <w:rFonts w:ascii="仿宋" w:hAnsi="仿宋" w:eastAsia="仿宋" w:cs="Times New Roman"/>
                <w:color w:val="000000"/>
                <w:sz w:val="24"/>
                <w:szCs w:val="24"/>
              </w:rPr>
            </w:pPr>
            <w:r>
              <w:rPr>
                <w:rFonts w:hint="eastAsia" w:ascii="仿宋" w:hAnsi="仿宋" w:eastAsia="仿宋" w:cs="仿宋"/>
                <w:color w:val="000000"/>
                <w:sz w:val="24"/>
                <w:szCs w:val="24"/>
              </w:rPr>
              <w:t>第</w:t>
            </w:r>
            <w:r>
              <w:rPr>
                <w:rFonts w:ascii="仿宋" w:hAnsi="仿宋" w:eastAsia="仿宋" w:cs="仿宋"/>
                <w:color w:val="000000"/>
                <w:sz w:val="24"/>
                <w:szCs w:val="24"/>
              </w:rPr>
              <w:t>2</w:t>
            </w:r>
            <w:r>
              <w:rPr>
                <w:rFonts w:hint="eastAsia" w:ascii="仿宋" w:hAnsi="仿宋" w:eastAsia="仿宋" w:cs="仿宋"/>
                <w:color w:val="000000"/>
                <w:sz w:val="24"/>
                <w:szCs w:val="24"/>
              </w:rPr>
              <w:t>年</w:t>
            </w:r>
          </w:p>
        </w:tc>
        <w:tc>
          <w:tcPr>
            <w:tcW w:w="3885" w:type="dxa"/>
            <w:gridSpan w:val="2"/>
            <w:vAlign w:val="top"/>
          </w:tcPr>
          <w:p>
            <w:pPr>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2694" w:type="dxa"/>
            <w:vMerge w:val="continue"/>
            <w:vAlign w:val="top"/>
          </w:tcPr>
          <w:p>
            <w:pPr>
              <w:spacing w:line="360" w:lineRule="auto"/>
              <w:jc w:val="center"/>
              <w:rPr>
                <w:rFonts w:ascii="仿宋" w:hAnsi="仿宋" w:eastAsia="仿宋" w:cs="Times New Roman"/>
                <w:color w:val="000000"/>
                <w:sz w:val="24"/>
                <w:szCs w:val="24"/>
              </w:rPr>
            </w:pPr>
          </w:p>
        </w:tc>
        <w:tc>
          <w:tcPr>
            <w:tcW w:w="2126" w:type="dxa"/>
            <w:vAlign w:val="top"/>
          </w:tcPr>
          <w:p>
            <w:pPr>
              <w:spacing w:line="360" w:lineRule="auto"/>
              <w:jc w:val="center"/>
              <w:rPr>
                <w:rFonts w:ascii="仿宋" w:hAnsi="仿宋" w:eastAsia="仿宋" w:cs="Times New Roman"/>
                <w:color w:val="000000"/>
                <w:sz w:val="24"/>
                <w:szCs w:val="24"/>
              </w:rPr>
            </w:pPr>
            <w:r>
              <w:rPr>
                <w:rFonts w:hint="eastAsia" w:ascii="仿宋" w:hAnsi="仿宋" w:eastAsia="仿宋" w:cs="仿宋"/>
                <w:color w:val="000000"/>
                <w:sz w:val="24"/>
                <w:szCs w:val="24"/>
              </w:rPr>
              <w:t>第</w:t>
            </w:r>
            <w:r>
              <w:rPr>
                <w:rFonts w:ascii="仿宋" w:hAnsi="仿宋" w:eastAsia="仿宋" w:cs="仿宋"/>
                <w:color w:val="000000"/>
                <w:sz w:val="24"/>
                <w:szCs w:val="24"/>
              </w:rPr>
              <w:t>3</w:t>
            </w:r>
            <w:r>
              <w:rPr>
                <w:rFonts w:hint="eastAsia" w:ascii="仿宋" w:hAnsi="仿宋" w:eastAsia="仿宋" w:cs="仿宋"/>
                <w:color w:val="000000"/>
                <w:sz w:val="24"/>
                <w:szCs w:val="24"/>
              </w:rPr>
              <w:t>年</w:t>
            </w:r>
          </w:p>
        </w:tc>
        <w:tc>
          <w:tcPr>
            <w:tcW w:w="3885" w:type="dxa"/>
            <w:gridSpan w:val="2"/>
            <w:vAlign w:val="top"/>
          </w:tcPr>
          <w:p>
            <w:pPr>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8" w:hRule="atLeast"/>
        </w:trPr>
        <w:tc>
          <w:tcPr>
            <w:tcW w:w="2694" w:type="dxa"/>
            <w:vAlign w:val="center"/>
          </w:tcPr>
          <w:p>
            <w:pPr>
              <w:widowControl w:val="0"/>
              <w:wordWrap/>
              <w:adjustRightInd/>
              <w:snapToGrid/>
              <w:spacing w:before="0" w:after="0" w:line="240" w:lineRule="auto"/>
              <w:ind w:left="0" w:leftChars="0" w:right="0" w:firstLine="0" w:firstLineChars="0"/>
              <w:jc w:val="center"/>
              <w:textAlignment w:val="auto"/>
              <w:outlineLvl w:val="9"/>
              <w:rPr>
                <w:rFonts w:ascii="仿宋" w:hAnsi="仿宋" w:eastAsia="仿宋" w:cs="仿宋"/>
                <w:color w:val="000000"/>
                <w:sz w:val="24"/>
                <w:szCs w:val="24"/>
              </w:rPr>
            </w:pPr>
            <w:r>
              <w:rPr>
                <w:rFonts w:hint="eastAsia" w:ascii="仿宋" w:hAnsi="仿宋" w:eastAsia="仿宋" w:cs="仿宋"/>
                <w:color w:val="000000"/>
                <w:sz w:val="24"/>
                <w:szCs w:val="24"/>
              </w:rPr>
              <w:t>评价得分</w:t>
            </w:r>
          </w:p>
          <w:p>
            <w:pPr>
              <w:widowControl w:val="0"/>
              <w:wordWrap/>
              <w:adjustRightInd/>
              <w:snapToGrid/>
              <w:spacing w:before="0" w:after="0" w:line="240" w:lineRule="auto"/>
              <w:ind w:left="0" w:leftChars="0" w:right="0" w:firstLine="0" w:firstLineChars="0"/>
              <w:jc w:val="center"/>
              <w:textAlignment w:val="auto"/>
              <w:outlineLvl w:val="9"/>
              <w:rPr>
                <w:rFonts w:ascii="仿宋" w:hAnsi="仿宋" w:eastAsia="仿宋" w:cs="Times New Roman"/>
                <w:color w:val="000000"/>
                <w:sz w:val="24"/>
                <w:szCs w:val="24"/>
              </w:rPr>
            </w:pPr>
            <w:r>
              <w:rPr>
                <w:rFonts w:ascii="仿宋" w:hAnsi="仿宋" w:eastAsia="仿宋" w:cs="仿宋"/>
                <w:color w:val="000000"/>
                <w:sz w:val="24"/>
                <w:szCs w:val="24"/>
              </w:rPr>
              <w:t>（</w:t>
            </w:r>
            <w:r>
              <w:rPr>
                <w:rFonts w:hint="eastAsia" w:ascii="仿宋" w:hAnsi="仿宋" w:eastAsia="仿宋" w:cs="仿宋"/>
                <w:color w:val="000000"/>
                <w:sz w:val="24"/>
                <w:szCs w:val="24"/>
              </w:rPr>
              <w:t>近三年平均得分</w:t>
            </w:r>
            <w:r>
              <w:rPr>
                <w:rFonts w:ascii="仿宋" w:hAnsi="仿宋" w:eastAsia="仿宋" w:cs="仿宋"/>
                <w:color w:val="000000"/>
                <w:sz w:val="24"/>
                <w:szCs w:val="24"/>
              </w:rPr>
              <w:t>）</w:t>
            </w:r>
          </w:p>
        </w:tc>
        <w:tc>
          <w:tcPr>
            <w:tcW w:w="6011" w:type="dxa"/>
            <w:gridSpan w:val="3"/>
            <w:vAlign w:val="center"/>
          </w:tcPr>
          <w:p>
            <w:pPr>
              <w:spacing w:line="360" w:lineRule="auto"/>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trPr>
        <w:tc>
          <w:tcPr>
            <w:tcW w:w="8705" w:type="dxa"/>
            <w:gridSpan w:val="4"/>
            <w:tcBorders>
              <w:top w:val="nil"/>
            </w:tcBorders>
            <w:vAlign w:val="top"/>
          </w:tcPr>
          <w:p>
            <w:pPr>
              <w:spacing w:line="360" w:lineRule="auto"/>
              <w:ind w:firstLine="480" w:firstLineChars="200"/>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本机构承诺已对园区材料进行全面审核，保证园区数据真实有效，评价程序公正，评价结果客观。评价报告若存在弄虚作假，本机构愿承担责任。</w:t>
            </w:r>
          </w:p>
          <w:p>
            <w:pPr>
              <w:spacing w:line="360" w:lineRule="auto"/>
              <w:ind w:firstLine="480" w:firstLineChars="200"/>
              <w:rPr>
                <w:rFonts w:ascii="仿宋_GB2312" w:hAnsi="Times New Roman" w:eastAsia="仿宋_GB2312" w:cs="Times New Roman"/>
                <w:color w:val="000000"/>
                <w:kern w:val="0"/>
                <w:sz w:val="24"/>
                <w:szCs w:val="24"/>
              </w:rPr>
            </w:pPr>
          </w:p>
          <w:p>
            <w:pPr>
              <w:spacing w:line="360" w:lineRule="auto"/>
              <w:jc w:val="center"/>
              <w:rPr>
                <w:rFonts w:hint="eastAsia" w:ascii="仿宋_GB2312" w:hAnsi="Times New Roman" w:eastAsia="仿宋_GB2312" w:cs="仿宋_GB2312"/>
                <w:b/>
                <w:bCs/>
                <w:color w:val="000000"/>
                <w:kern w:val="0"/>
                <w:sz w:val="24"/>
                <w:szCs w:val="24"/>
                <w:lang w:val="en-US" w:eastAsia="zh-CN"/>
              </w:rPr>
            </w:pPr>
            <w:r>
              <w:rPr>
                <w:rFonts w:hint="eastAsia" w:ascii="仿宋_GB2312" w:hAnsi="Times New Roman" w:eastAsia="仿宋_GB2312" w:cs="仿宋_GB2312"/>
                <w:b/>
                <w:bCs/>
                <w:color w:val="000000"/>
                <w:kern w:val="0"/>
                <w:sz w:val="24"/>
                <w:szCs w:val="24"/>
                <w:lang w:val="en-US" w:eastAsia="zh-CN"/>
              </w:rPr>
              <w:t xml:space="preserve">                             </w:t>
            </w:r>
          </w:p>
          <w:p>
            <w:pPr>
              <w:spacing w:line="360"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lang w:val="en-US" w:eastAsia="zh-CN"/>
              </w:rPr>
              <w:t xml:space="preserve">                            </w:t>
            </w:r>
            <w:r>
              <w:rPr>
                <w:rFonts w:hint="eastAsia" w:ascii="仿宋_GB2312" w:hAnsi="Times New Roman" w:eastAsia="仿宋_GB2312" w:cs="仿宋_GB2312"/>
                <w:b/>
                <w:bCs/>
                <w:color w:val="000000"/>
                <w:kern w:val="0"/>
                <w:sz w:val="24"/>
                <w:szCs w:val="24"/>
              </w:rPr>
              <w:t>负责人签字：</w:t>
            </w:r>
          </w:p>
          <w:p>
            <w:pPr>
              <w:spacing w:line="360" w:lineRule="auto"/>
              <w:jc w:val="center"/>
              <w:rPr>
                <w:rFonts w:ascii="仿宋_GB2312" w:hAnsi="Times New Roman" w:eastAsia="仿宋_GB2312" w:cs="Times New Roman"/>
                <w:b/>
                <w:bCs/>
                <w:color w:val="000000"/>
                <w:kern w:val="0"/>
                <w:sz w:val="24"/>
                <w:szCs w:val="24"/>
              </w:rPr>
            </w:pPr>
          </w:p>
          <w:p>
            <w:pPr>
              <w:spacing w:line="360"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lang w:val="en-US" w:eastAsia="zh-CN"/>
              </w:rPr>
              <w:t xml:space="preserve">                           </w:t>
            </w:r>
            <w:r>
              <w:rPr>
                <w:rFonts w:hint="eastAsia" w:ascii="仿宋_GB2312" w:hAnsi="Times New Roman" w:eastAsia="仿宋_GB2312" w:cs="仿宋_GB2312"/>
                <w:b/>
                <w:bCs/>
                <w:color w:val="000000"/>
                <w:kern w:val="0"/>
                <w:sz w:val="24"/>
                <w:szCs w:val="24"/>
              </w:rPr>
              <w:t>（单位公章）</w:t>
            </w:r>
          </w:p>
          <w:p>
            <w:pPr>
              <w:spacing w:line="360" w:lineRule="auto"/>
              <w:rPr>
                <w:rFonts w:ascii="仿宋_GB2312" w:hAnsi="Times New Roman" w:eastAsia="仿宋_GB2312" w:cs="Times New Roman"/>
                <w:color w:val="000000"/>
                <w:kern w:val="0"/>
                <w:sz w:val="24"/>
                <w:szCs w:val="24"/>
              </w:rPr>
            </w:pPr>
          </w:p>
        </w:tc>
      </w:tr>
    </w:tbl>
    <w:p>
      <w:pPr>
        <w:snapToGrid w:val="0"/>
        <w:spacing w:beforeLines="100" w:afterLines="100" w:line="360" w:lineRule="auto"/>
        <w:jc w:val="center"/>
        <w:rPr>
          <w:rFonts w:ascii="Times New Roman" w:hAnsi="Times New Roman" w:eastAsia="黑体" w:cs="黑体"/>
          <w:color w:val="000000"/>
          <w:sz w:val="32"/>
          <w:szCs w:val="32"/>
        </w:rPr>
        <w:sectPr>
          <w:pgSz w:w="11906" w:h="16838"/>
          <w:pgMar w:top="1440" w:right="1800" w:bottom="1440" w:left="1800" w:header="851" w:footer="992" w:gutter="0"/>
          <w:pgNumType w:fmt="numberInDash"/>
          <w:cols w:space="720" w:num="1"/>
          <w:docGrid w:type="lines" w:linePitch="312" w:charSpace="0"/>
        </w:sectPr>
      </w:pPr>
    </w:p>
    <w:p>
      <w:pPr>
        <w:snapToGrid w:val="0"/>
        <w:spacing w:beforeLines="100" w:afterLines="100" w:line="360" w:lineRule="auto"/>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绿色园区评价报告（格式）</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一、评价园区情况介绍</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仿宋_GB2312" w:eastAsia="仿宋_GB2312" w:cs="仿宋_GB2312"/>
          <w:color w:val="000000"/>
          <w:sz w:val="28"/>
          <w:szCs w:val="28"/>
        </w:rPr>
        <w:t>主要介绍绿色园区评价的目的、依据及被评价园区的基本情况等内容。</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二、评价过程描述</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仿宋_GB2312" w:eastAsia="仿宋_GB2312" w:cs="仿宋_GB2312"/>
          <w:color w:val="000000"/>
          <w:sz w:val="28"/>
          <w:szCs w:val="28"/>
        </w:rPr>
        <w:t>主要介绍评价工作安排、评价人员组成、文件资料评价情况、现场评价情况、数据收集及审核的过程、指标数据的不确定性分析、报告编写及评价结论复核等内容。</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三、园区绿色化建设或改造主要做法</w:t>
      </w:r>
    </w:p>
    <w:p>
      <w:pPr>
        <w:snapToGrid w:val="0"/>
        <w:spacing w:line="360" w:lineRule="auto"/>
        <w:ind w:firstLine="560" w:firstLineChars="200"/>
        <w:rPr>
          <w:rFonts w:ascii="仿宋_GB2312" w:hAnsi="Times New Roman" w:eastAsia="仿宋_GB2312" w:cs="Times New Roman"/>
          <w:color w:val="000000"/>
          <w:kern w:val="0"/>
          <w:sz w:val="28"/>
          <w:szCs w:val="28"/>
        </w:rPr>
      </w:pPr>
      <w:r>
        <w:rPr>
          <w:rFonts w:hint="eastAsia" w:ascii="仿宋_GB2312" w:hAnsi="Times New Roman" w:eastAsia="仿宋_GB2312" w:cs="仿宋_GB2312"/>
          <w:color w:val="000000"/>
          <w:kern w:val="0"/>
          <w:sz w:val="28"/>
          <w:szCs w:val="28"/>
        </w:rPr>
        <w:t>主要介绍为推动绿色园区建设或改造所采取的主要做法。</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四、绿色园区建设或改造工作亮点</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仿宋_GB2312" w:hAnsi="Times New Roman" w:eastAsia="仿宋_GB2312" w:cs="仿宋_GB2312"/>
          <w:color w:val="000000"/>
          <w:kern w:val="0"/>
          <w:sz w:val="28"/>
          <w:szCs w:val="28"/>
        </w:rPr>
        <w:t>主要介绍绿色园区建设或改造工作中的亮点。</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五、绿色园区建设或改造中存在的问题</w:t>
      </w:r>
    </w:p>
    <w:p>
      <w:pPr>
        <w:snapToGrid w:val="0"/>
        <w:spacing w:line="360" w:lineRule="auto"/>
        <w:ind w:firstLine="560" w:firstLineChars="200"/>
        <w:rPr>
          <w:rFonts w:ascii="仿宋_GB2312" w:hAnsi="Times New Roman" w:eastAsia="仿宋_GB2312" w:cs="Times New Roman"/>
          <w:color w:val="000000"/>
          <w:kern w:val="0"/>
          <w:sz w:val="28"/>
          <w:szCs w:val="28"/>
        </w:rPr>
      </w:pPr>
      <w:r>
        <w:rPr>
          <w:rFonts w:hint="eastAsia" w:ascii="仿宋_GB2312" w:hAnsi="Times New Roman" w:eastAsia="仿宋_GB2312" w:cs="仿宋_GB2312"/>
          <w:color w:val="000000"/>
          <w:kern w:val="0"/>
          <w:sz w:val="28"/>
          <w:szCs w:val="28"/>
        </w:rPr>
        <w:t>主要介绍绿色园区建设或改造过程中存在的问题。</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六、有关建议</w:t>
      </w:r>
    </w:p>
    <w:p>
      <w:pPr>
        <w:snapToGrid w:val="0"/>
        <w:spacing w:line="360" w:lineRule="auto"/>
        <w:ind w:firstLine="560" w:firstLineChars="200"/>
        <w:rPr>
          <w:rFonts w:ascii="仿宋_GB2312" w:hAnsi="Times New Roman" w:eastAsia="仿宋_GB2312" w:cs="Times New Roman"/>
          <w:color w:val="000000"/>
          <w:kern w:val="0"/>
          <w:sz w:val="28"/>
          <w:szCs w:val="28"/>
        </w:rPr>
      </w:pPr>
      <w:r>
        <w:rPr>
          <w:rFonts w:hint="eastAsia" w:ascii="Times New Roman" w:hAnsi="Times New Roman" w:eastAsia="仿宋_GB2312" w:cs="仿宋_GB2312"/>
          <w:color w:val="000000"/>
          <w:sz w:val="28"/>
          <w:szCs w:val="28"/>
        </w:rPr>
        <w:t>对</w:t>
      </w:r>
      <w:r>
        <w:rPr>
          <w:rFonts w:hint="eastAsia" w:ascii="仿宋_GB2312" w:hAnsi="Times New Roman" w:eastAsia="仿宋_GB2312" w:cs="仿宋_GB2312"/>
          <w:color w:val="000000"/>
          <w:kern w:val="0"/>
          <w:sz w:val="28"/>
          <w:szCs w:val="28"/>
        </w:rPr>
        <w:t>园区</w:t>
      </w:r>
      <w:r>
        <w:rPr>
          <w:rFonts w:hint="eastAsia" w:ascii="Times New Roman" w:hAnsi="Times New Roman" w:eastAsia="仿宋_GB2312" w:cs="仿宋_GB2312"/>
          <w:color w:val="000000"/>
          <w:sz w:val="28"/>
          <w:szCs w:val="28"/>
        </w:rPr>
        <w:t>持续创建绿色</w:t>
      </w:r>
      <w:r>
        <w:rPr>
          <w:rFonts w:hint="eastAsia" w:ascii="仿宋_GB2312" w:hAnsi="Times New Roman" w:eastAsia="仿宋_GB2312" w:cs="仿宋_GB2312"/>
          <w:color w:val="000000"/>
          <w:kern w:val="0"/>
          <w:sz w:val="28"/>
          <w:szCs w:val="28"/>
        </w:rPr>
        <w:t>园区</w:t>
      </w:r>
      <w:r>
        <w:rPr>
          <w:rFonts w:hint="eastAsia" w:ascii="Times New Roman" w:hAnsi="Times New Roman" w:eastAsia="仿宋_GB2312" w:cs="仿宋_GB2312"/>
          <w:color w:val="000000"/>
          <w:sz w:val="28"/>
          <w:szCs w:val="28"/>
        </w:rPr>
        <w:t>的下一步工作提出建议。</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七、参考文件清单</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仿宋_GB2312" w:cs="仿宋_GB2312"/>
          <w:color w:val="000000"/>
          <w:sz w:val="28"/>
          <w:szCs w:val="28"/>
        </w:rPr>
        <w:t>列出报告编写过程中所参考的园区相关材料清单。</w:t>
      </w:r>
    </w:p>
    <w:p>
      <w:pPr>
        <w:snapToGrid w:val="0"/>
        <w:spacing w:line="360" w:lineRule="auto"/>
        <w:ind w:firstLine="560" w:firstLineChars="200"/>
        <w:rPr>
          <w:rFonts w:ascii="Times New Roman" w:hAnsi="Times New Roman" w:eastAsia="黑体" w:cs="Times New Roman"/>
          <w:color w:val="000000"/>
          <w:sz w:val="28"/>
          <w:szCs w:val="28"/>
        </w:rPr>
      </w:pPr>
      <w:r>
        <w:rPr>
          <w:rFonts w:hint="eastAsia" w:ascii="Times New Roman" w:hAnsi="Times New Roman" w:eastAsia="黑体" w:cs="黑体"/>
          <w:color w:val="000000"/>
          <w:sz w:val="28"/>
          <w:szCs w:val="28"/>
        </w:rPr>
        <w:t>八、第三方机构资质符合性证明材料</w:t>
      </w:r>
    </w:p>
    <w:p>
      <w:pPr>
        <w:snapToGrid w:val="0"/>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列出第三方机构满足条件的资质符合性证明材料。</w:t>
      </w:r>
    </w:p>
    <w:p>
      <w:pPr>
        <w:snapToGrid w:val="0"/>
        <w:spacing w:line="360" w:lineRule="auto"/>
        <w:ind w:firstLine="600" w:firstLineChars="200"/>
        <w:jc w:val="center"/>
        <w:rPr>
          <w:rFonts w:ascii="黑体" w:hAnsi="黑体" w:eastAsia="黑体" w:cs="Times New Roman"/>
          <w:color w:val="000000"/>
          <w:sz w:val="36"/>
          <w:szCs w:val="36"/>
        </w:rPr>
      </w:pPr>
      <w:r>
        <w:rPr>
          <w:rFonts w:ascii="Times New Roman" w:hAnsi="Times New Roman" w:eastAsia="仿宋_GB2312" w:cs="Times New Roman"/>
          <w:color w:val="000000"/>
          <w:sz w:val="30"/>
          <w:szCs w:val="30"/>
        </w:rPr>
        <w:br w:type="page"/>
      </w:r>
    </w:p>
    <w:p>
      <w:pPr>
        <w:spacing w:beforeLines="50" w:afterLines="50" w:line="360" w:lineRule="auto"/>
        <w:jc w:val="center"/>
        <w:rPr>
          <w:rFonts w:ascii="黑体" w:hAnsi="黑体" w:eastAsia="黑体" w:cs="Times New Roman"/>
          <w:color w:val="000000"/>
          <w:sz w:val="36"/>
          <w:szCs w:val="36"/>
        </w:rPr>
      </w:pPr>
      <w:r>
        <w:rPr>
          <w:rFonts w:hint="eastAsia" w:ascii="黑体" w:hAnsi="黑体" w:eastAsia="黑体" w:cs="黑体"/>
          <w:color w:val="000000"/>
          <w:sz w:val="36"/>
          <w:szCs w:val="36"/>
        </w:rPr>
        <w:t>园区基本要求符合性评价</w:t>
      </w:r>
    </w:p>
    <w:p>
      <w:pPr>
        <w:adjustRightInd w:val="0"/>
        <w:snapToGrid w:val="0"/>
        <w:ind w:left="960" w:hanging="960" w:hangingChars="400"/>
        <w:rPr>
          <w:rFonts w:ascii="仿宋_GB2312" w:eastAsia="仿宋_GB2312" w:cs="Times New Roman"/>
          <w:color w:val="000000"/>
          <w:kern w:val="0"/>
          <w:sz w:val="24"/>
          <w:szCs w:val="28"/>
        </w:rPr>
      </w:pPr>
      <w:r>
        <w:rPr>
          <w:rFonts w:hint="eastAsia" w:ascii="仿宋_GB2312" w:eastAsia="仿宋_GB2312" w:cs="仿宋_GB2312"/>
          <w:color w:val="000000"/>
          <w:kern w:val="0"/>
          <w:sz w:val="24"/>
          <w:szCs w:val="28"/>
        </w:rPr>
        <w:t>说明：</w:t>
      </w:r>
      <w:r>
        <w:rPr>
          <w:rFonts w:ascii="仿宋_GB2312" w:eastAsia="仿宋_GB2312" w:cs="仿宋_GB2312"/>
          <w:color w:val="000000"/>
          <w:kern w:val="0"/>
          <w:sz w:val="24"/>
          <w:szCs w:val="28"/>
        </w:rPr>
        <w:t>1.</w:t>
      </w:r>
      <w:r>
        <w:rPr>
          <w:rFonts w:hint="eastAsia" w:ascii="仿宋_GB2312" w:eastAsia="仿宋_GB2312" w:cs="仿宋_GB2312"/>
          <w:color w:val="000000"/>
          <w:kern w:val="0"/>
          <w:sz w:val="24"/>
          <w:szCs w:val="28"/>
        </w:rPr>
        <w:t>基本要求为申请绿色园区评价的必要条件，如有任何一项不满足评价要求，不得通过绿色园区评价。</w:t>
      </w:r>
    </w:p>
    <w:p>
      <w:pPr>
        <w:adjustRightInd w:val="0"/>
        <w:snapToGrid w:val="0"/>
        <w:ind w:firstLine="720" w:firstLineChars="300"/>
        <w:rPr>
          <w:rFonts w:ascii="仿宋" w:hAnsi="仿宋" w:eastAsia="仿宋" w:cs="Times New Roman"/>
          <w:b/>
          <w:bCs/>
          <w:color w:val="000000"/>
          <w:sz w:val="28"/>
          <w:szCs w:val="30"/>
        </w:rPr>
      </w:pPr>
      <w:r>
        <w:rPr>
          <w:rFonts w:ascii="仿宋_GB2312" w:eastAsia="仿宋_GB2312" w:cs="仿宋_GB2312"/>
          <w:color w:val="000000"/>
          <w:kern w:val="0"/>
          <w:sz w:val="24"/>
          <w:szCs w:val="28"/>
        </w:rPr>
        <w:t>2.</w:t>
      </w:r>
      <w:r>
        <w:rPr>
          <w:rFonts w:hint="eastAsia" w:ascii="仿宋_GB2312" w:eastAsia="仿宋_GB2312" w:cs="仿宋_GB2312"/>
          <w:color w:val="000000"/>
          <w:kern w:val="0"/>
          <w:sz w:val="24"/>
          <w:szCs w:val="28"/>
        </w:rPr>
        <w:t>符合评价要求的请打“√”，不符合的请打“×”。</w:t>
      </w:r>
    </w:p>
    <w:tbl>
      <w:tblPr>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1"/>
        <w:gridCol w:w="6520"/>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序号</w:t>
            </w:r>
          </w:p>
        </w:tc>
        <w:tc>
          <w:tcPr>
            <w:tcW w:w="6520" w:type="dxa"/>
            <w:vAlign w:val="center"/>
          </w:tcPr>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具体评价要求</w:t>
            </w:r>
          </w:p>
        </w:tc>
        <w:tc>
          <w:tcPr>
            <w:tcW w:w="1134" w:type="dxa"/>
            <w:vAlign w:val="top"/>
          </w:tcPr>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是否</w:t>
            </w:r>
          </w:p>
          <w:p>
            <w:pPr>
              <w:adjustRightInd w:val="0"/>
              <w:snapToGrid w:val="0"/>
              <w:spacing w:beforeLines="20" w:afterLines="20" w:line="276" w:lineRule="auto"/>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符合</w:t>
            </w:r>
          </w:p>
        </w:tc>
        <w:tc>
          <w:tcPr>
            <w:tcW w:w="993" w:type="dxa"/>
            <w:vAlign w:val="top"/>
          </w:tcPr>
          <w:p>
            <w:pPr>
              <w:adjustRightInd w:val="0"/>
              <w:snapToGrid w:val="0"/>
              <w:spacing w:beforeLines="20" w:afterLines="20" w:line="276" w:lineRule="auto"/>
              <w:jc w:val="center"/>
              <w:rPr>
                <w:rFonts w:ascii="仿宋_GB2312" w:hAnsi="Times New Roman" w:eastAsia="仿宋_GB2312" w:cs="仿宋_GB2312"/>
                <w:b/>
                <w:bCs/>
                <w:color w:val="000000"/>
                <w:kern w:val="0"/>
                <w:sz w:val="24"/>
                <w:szCs w:val="24"/>
              </w:rPr>
            </w:pPr>
            <w:r>
              <w:rPr>
                <w:rFonts w:hint="eastAsia" w:ascii="仿宋_GB2312" w:hAnsi="Times New Roman" w:eastAsia="仿宋_GB2312" w:cs="仿宋_GB2312"/>
                <w:b/>
                <w:bCs/>
                <w:color w:val="000000"/>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1</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园区有效地贯彻执行国家和地方绿色、循环和低碳相关法律法规、政策和标准。</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2</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近三年，园区内未发生较大质量、安全、环境事故或较大生态破坏事件。</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3</w:t>
            </w:r>
          </w:p>
        </w:tc>
        <w:tc>
          <w:tcPr>
            <w:tcW w:w="6520" w:type="dxa"/>
            <w:vAlign w:val="top"/>
          </w:tcPr>
          <w:p>
            <w:pPr>
              <w:adjustRightInd w:val="0"/>
              <w:snapToGrid w:val="0"/>
              <w:spacing w:beforeLines="20" w:afterLines="20" w:line="276" w:lineRule="auto"/>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园区内企业完成了国家或地方政府下达的节能减排指标，碳排放强度持续下降。</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4</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园区环境质量达到国家或地方规定的环境功能区环境质量标准，园区内企业污染物达标排放，各类重点污染物排放总量均不超过国家或地方的总量控制要求。</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9" w:hRule="atLeast"/>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5</w:t>
            </w:r>
          </w:p>
        </w:tc>
        <w:tc>
          <w:tcPr>
            <w:tcW w:w="6520" w:type="dxa"/>
            <w:vAlign w:val="center"/>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园区重点企业</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实施清洁生产审核，园区非重点企业</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实施清洁生产改造。（注：重点企业是指《清洁生产促进法》中规定的应当实施强制性清洁生产审核的企业，即评审期当年及之前公布的重点企业清洁生产审核名单中的企业）</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6</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园区企业不应使用国家列入淘汰目录的落后生产技术、工艺和设备，不应生产国家列入淘汰目录的产品。</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7</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园区应建立履行绿色发展工作职责的专门机构，配备了</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名以上专职工作人员。</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8</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园区应建立并运行环境管理体系和能源管理体系，建立园区能耗在线监测管理平台。</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51" w:type="dxa"/>
            <w:vAlign w:val="center"/>
          </w:tcPr>
          <w:p>
            <w:pPr>
              <w:adjustRightInd w:val="0"/>
              <w:snapToGrid w:val="0"/>
              <w:spacing w:beforeLines="20" w:afterLines="20" w:line="276" w:lineRule="auto"/>
              <w:jc w:val="center"/>
              <w:rPr>
                <w:rFonts w:ascii="仿宋_GB2312" w:hAnsi="宋体" w:eastAsia="仿宋_GB2312" w:cs="仿宋_GB2312"/>
                <w:color w:val="000000"/>
                <w:kern w:val="0"/>
                <w:sz w:val="24"/>
                <w:szCs w:val="24"/>
              </w:rPr>
            </w:pPr>
            <w:r>
              <w:rPr>
                <w:rFonts w:ascii="仿宋_GB2312" w:hAnsi="宋体" w:eastAsia="仿宋_GB2312" w:cs="仿宋_GB2312"/>
                <w:color w:val="000000"/>
                <w:kern w:val="0"/>
                <w:sz w:val="24"/>
                <w:szCs w:val="24"/>
              </w:rPr>
              <w:t>9</w:t>
            </w:r>
          </w:p>
        </w:tc>
        <w:tc>
          <w:tcPr>
            <w:tcW w:w="6520"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园区应建设并运行风能或太阳能等可再生能源利用设施。</w:t>
            </w:r>
          </w:p>
        </w:tc>
        <w:tc>
          <w:tcPr>
            <w:tcW w:w="1134"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c>
          <w:tcPr>
            <w:tcW w:w="993" w:type="dxa"/>
            <w:vAlign w:val="top"/>
          </w:tcPr>
          <w:p>
            <w:pPr>
              <w:adjustRightInd w:val="0"/>
              <w:snapToGrid w:val="0"/>
              <w:spacing w:beforeLines="20" w:afterLines="20" w:line="276" w:lineRule="auto"/>
              <w:rPr>
                <w:rFonts w:ascii="仿宋_GB2312" w:hAnsi="宋体" w:eastAsia="仿宋_GB2312" w:cs="Times New Roman"/>
                <w:color w:val="000000"/>
                <w:kern w:val="0"/>
                <w:sz w:val="24"/>
                <w:szCs w:val="24"/>
              </w:rPr>
            </w:pPr>
          </w:p>
        </w:tc>
      </w:tr>
    </w:tbl>
    <w:p>
      <w:pPr>
        <w:autoSpaceDE w:val="0"/>
        <w:autoSpaceDN w:val="0"/>
        <w:adjustRightInd w:val="0"/>
        <w:snapToGrid w:val="0"/>
        <w:spacing w:line="360" w:lineRule="auto"/>
        <w:rPr>
          <w:rFonts w:ascii="仿宋_GB2312" w:eastAsia="仿宋_GB2312" w:cs="Times New Roman"/>
          <w:color w:val="000000"/>
          <w:kern w:val="0"/>
          <w:sz w:val="24"/>
          <w:szCs w:val="24"/>
        </w:rPr>
      </w:pPr>
    </w:p>
    <w:p>
      <w:pPr>
        <w:spacing w:line="360" w:lineRule="auto"/>
        <w:rPr>
          <w:rFonts w:ascii="黑体" w:hAnsi="黑体" w:eastAsia="黑体" w:cs="Times New Roman"/>
          <w:color w:val="000000"/>
          <w:kern w:val="0"/>
          <w:sz w:val="24"/>
          <w:szCs w:val="24"/>
        </w:rPr>
      </w:pPr>
    </w:p>
    <w:p>
      <w:pPr>
        <w:jc w:val="center"/>
        <w:rPr>
          <w:rFonts w:ascii="仿宋_GB2312" w:eastAsia="仿宋_GB2312" w:cs="Times New Roman"/>
          <w:color w:val="000000"/>
          <w:sz w:val="32"/>
          <w:szCs w:val="32"/>
        </w:rPr>
      </w:pPr>
    </w:p>
    <w:p>
      <w:pPr>
        <w:rPr>
          <w:rFonts w:cs="Times New Roman"/>
          <w:color w:val="000000"/>
        </w:rPr>
      </w:pPr>
    </w:p>
    <w:p>
      <w:pPr>
        <w:rPr>
          <w:rFonts w:cs="Times New Roman"/>
          <w:color w:val="000000"/>
        </w:rPr>
        <w:sectPr>
          <w:pgSz w:w="11906" w:h="16838"/>
          <w:pgMar w:top="1440" w:right="1800" w:bottom="1440" w:left="1800" w:header="851" w:footer="992" w:gutter="0"/>
          <w:pgNumType w:fmt="numberInDash"/>
          <w:cols w:space="720" w:num="1"/>
          <w:docGrid w:type="lines" w:linePitch="312" w:charSpace="0"/>
        </w:sectPr>
      </w:pPr>
    </w:p>
    <w:p>
      <w:pPr>
        <w:snapToGrid w:val="0"/>
        <w:spacing w:line="360" w:lineRule="auto"/>
        <w:jc w:val="center"/>
        <w:rPr>
          <w:rFonts w:ascii="黑体" w:hAnsi="黑体" w:eastAsia="黑体" w:cs="Times New Roman"/>
          <w:color w:val="000000"/>
          <w:sz w:val="36"/>
          <w:szCs w:val="36"/>
        </w:rPr>
      </w:pPr>
      <w:r>
        <w:rPr>
          <w:rFonts w:hint="eastAsia" w:ascii="黑体" w:hAnsi="黑体" w:eastAsia="黑体" w:cs="黑体"/>
          <w:color w:val="000000"/>
          <w:sz w:val="36"/>
          <w:szCs w:val="36"/>
        </w:rPr>
        <w:t>园区评价指标数据评价清单</w:t>
      </w:r>
    </w:p>
    <w:p>
      <w:pPr>
        <w:spacing w:line="360" w:lineRule="auto"/>
        <w:jc w:val="center"/>
        <w:rPr>
          <w:rFonts w:ascii="黑体" w:hAnsi="黑体" w:eastAsia="黑体" w:cs="黑体"/>
          <w:color w:val="000000"/>
          <w:sz w:val="30"/>
          <w:szCs w:val="30"/>
        </w:rPr>
      </w:pPr>
      <w:r>
        <w:rPr>
          <w:rFonts w:hint="eastAsia" w:ascii="黑体" w:hAnsi="黑体" w:eastAsia="黑体" w:cs="黑体"/>
          <w:color w:val="000000"/>
          <w:sz w:val="30"/>
          <w:szCs w:val="30"/>
        </w:rPr>
        <w:t>第</w:t>
      </w:r>
      <w:r>
        <w:rPr>
          <w:rFonts w:ascii="黑体" w:hAnsi="黑体" w:eastAsia="黑体" w:cs="黑体"/>
          <w:color w:val="000000"/>
          <w:sz w:val="30"/>
          <w:szCs w:val="30"/>
        </w:rPr>
        <w:t>1</w:t>
      </w:r>
      <w:r>
        <w:rPr>
          <w:rFonts w:hint="eastAsia" w:ascii="黑体" w:hAnsi="黑体" w:eastAsia="黑体" w:cs="黑体"/>
          <w:color w:val="000000"/>
          <w:sz w:val="30"/>
          <w:szCs w:val="30"/>
        </w:rPr>
        <w:t>年（</w:t>
      </w:r>
      <w:r>
        <w:rPr>
          <w:rFonts w:hint="eastAsia" w:ascii="黑体" w:hAnsi="黑体" w:eastAsia="黑体" w:cs="黑体"/>
          <w:color w:val="000000"/>
          <w:sz w:val="30"/>
          <w:szCs w:val="30"/>
          <w:u w:val="single"/>
        </w:rPr>
        <w:t xml:space="preserve">      </w:t>
      </w:r>
      <w:r>
        <w:rPr>
          <w:rFonts w:hint="eastAsia" w:ascii="黑体" w:hAnsi="黑体" w:eastAsia="黑体" w:cs="黑体"/>
          <w:color w:val="000000"/>
          <w:sz w:val="30"/>
          <w:szCs w:val="30"/>
        </w:rPr>
        <w:t xml:space="preserve"> 年）园区数据清单</w:t>
      </w:r>
    </w:p>
    <w:tbl>
      <w:tblP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一级指标</w:t>
            </w:r>
          </w:p>
        </w:tc>
        <w:tc>
          <w:tcPr>
            <w:tcW w:w="878"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序号</w:t>
            </w:r>
          </w:p>
        </w:tc>
        <w:tc>
          <w:tcPr>
            <w:tcW w:w="3233" w:type="dxa"/>
            <w:vAlign w:val="center"/>
          </w:tcPr>
          <w:p>
            <w:pPr>
              <w:adjustRightInd w:val="0"/>
              <w:snapToGrid w:val="0"/>
              <w:ind w:firstLine="562"/>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二级指标</w:t>
            </w:r>
          </w:p>
        </w:tc>
        <w:tc>
          <w:tcPr>
            <w:tcW w:w="1276"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指标单位</w:t>
            </w:r>
          </w:p>
        </w:tc>
        <w:tc>
          <w:tcPr>
            <w:tcW w:w="1587"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指标数据</w:t>
            </w:r>
          </w:p>
        </w:tc>
        <w:tc>
          <w:tcPr>
            <w:tcW w:w="1363"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EG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能源产出率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/tce</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可再生能源使用比例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清洁能源使用率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资源利用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lang w:val="en-US" w:eastAsia="zh-CN"/>
              </w:rPr>
              <w:t>R</w:t>
            </w:r>
            <w:r>
              <w:rPr>
                <w:rFonts w:ascii="仿宋_GB2312" w:hAnsi="Times New Roman" w:eastAsia="仿宋_GB2312" w:cs="仿宋_GB2312"/>
                <w:color w:val="000000"/>
                <w:kern w:val="0"/>
                <w:sz w:val="24"/>
                <w:szCs w:val="24"/>
              </w:rPr>
              <w:t>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水资源产出率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元</w:t>
            </w:r>
            <w:r>
              <w:rPr>
                <w:rFonts w:ascii="仿宋_GB2312" w:hAnsi="Times New Roman" w:eastAsia="仿宋_GB2312" w:cs="仿宋_GB2312"/>
                <w:color w:val="000000"/>
                <w:kern w:val="0"/>
                <w:sz w:val="24"/>
                <w:szCs w:val="24"/>
              </w:rPr>
              <w:t>/m</w:t>
            </w:r>
            <w:r>
              <w:rPr>
                <w:rFonts w:ascii="仿宋_GB2312" w:hAnsi="Times New Roman" w:eastAsia="仿宋_GB2312" w:cs="仿宋_GB2312"/>
                <w:color w:val="000000"/>
                <w:kern w:val="0"/>
                <w:sz w:val="24"/>
                <w:szCs w:val="24"/>
                <w:vertAlign w:val="superscript"/>
              </w:rPr>
              <w:t>3</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土地资源产出率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亿元</w:t>
            </w:r>
            <w:r>
              <w:rPr>
                <w:rFonts w:ascii="仿宋_GB2312" w:hAnsi="Times New Roman" w:eastAsia="仿宋_GB2312" w:cs="仿宋_GB2312"/>
                <w:color w:val="000000"/>
                <w:kern w:val="0"/>
                <w:sz w:val="24"/>
                <w:szCs w:val="24"/>
              </w:rPr>
              <w:t>/km</w:t>
            </w:r>
            <w:r>
              <w:rPr>
                <w:rFonts w:ascii="仿宋_GB2312" w:hAnsi="Times New Roman" w:eastAsia="仿宋_GB2312" w:cs="仿宋_GB2312"/>
                <w:color w:val="000000"/>
                <w:kern w:val="0"/>
                <w:sz w:val="24"/>
                <w:szCs w:val="24"/>
                <w:vertAlign w:val="superscript"/>
              </w:rPr>
              <w:t>2</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工业固体废弃物综合利用率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工业用水重复利用率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中水回用率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余热资源回收利用率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废气资源回收利用率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再生资源回收利用率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基础设施</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lang w:val="en-US" w:eastAsia="zh-CN"/>
              </w:rPr>
              <w:t>I</w:t>
            </w:r>
            <w:r>
              <w:rPr>
                <w:rFonts w:ascii="仿宋_GB2312" w:hAnsi="Times New Roman" w:eastAsia="仿宋_GB2312" w:cs="仿宋_GB2312"/>
                <w:color w:val="000000"/>
                <w:kern w:val="0"/>
                <w:sz w:val="24"/>
                <w:szCs w:val="24"/>
              </w:rPr>
              <w:t>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污水集中处理设施</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13</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新建工业建筑中</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14</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新建公共建筑中</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500</w:t>
            </w:r>
            <w:r>
              <w:rPr>
                <w:rFonts w:hint="eastAsia" w:ascii="仿宋_GB2312" w:hAnsi="Times New Roman" w:eastAsia="仿宋_GB2312" w:cs="仿宋_GB2312"/>
                <w:color w:val="000000"/>
                <w:kern w:val="0"/>
                <w:sz w:val="24"/>
                <w:szCs w:val="24"/>
              </w:rPr>
              <w:t>米公交站点覆盖率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节能与新能源公交车比例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产业</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CG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17</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高技术产业产值占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园区工业总产值比例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18</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绿色产业增加值占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园区工业增加值比例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人均工业增加值</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人</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现代服务业比例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生态环境</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HG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21</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工业固体废弃物（含危废）</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处置利用率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22</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万元工业增加值碳排放量</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消减率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单位工业增加值废水排放量</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t/</w:t>
            </w:r>
            <w:r>
              <w:rPr>
                <w:rFonts w:hint="eastAsia" w:ascii="仿宋_GB2312" w:hAnsi="Times New Roman" w:eastAsia="仿宋_GB2312" w:cs="仿宋_GB2312"/>
                <w:color w:val="000000"/>
                <w:kern w:val="0"/>
                <w:sz w:val="24"/>
                <w:szCs w:val="24"/>
              </w:rPr>
              <w:t>万元</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主要污染物弹性系数</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园区空气质量优良率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绿化覆盖率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道路遮荫比例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露天停车场遮荫比例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运行管理</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MG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绿色园区标准体系完善程度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编制绿色园区发展规划</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绿色园区信息平台完善程度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bl>
    <w:p>
      <w:pPr>
        <w:spacing w:line="360" w:lineRule="auto"/>
        <w:jc w:val="center"/>
        <w:rPr>
          <w:rFonts w:ascii="方正小标宋简体" w:eastAsia="方正小标宋简体" w:cs="Times New Roman"/>
          <w:color w:val="000000"/>
          <w:sz w:val="30"/>
          <w:szCs w:val="30"/>
        </w:rPr>
      </w:pPr>
      <w:r>
        <w:rPr>
          <w:rFonts w:hint="eastAsia" w:ascii="黑体" w:hAnsi="黑体" w:eastAsia="黑体" w:cs="黑体"/>
          <w:color w:val="000000"/>
          <w:sz w:val="30"/>
          <w:szCs w:val="30"/>
        </w:rPr>
        <w:t>第</w:t>
      </w:r>
      <w:r>
        <w:rPr>
          <w:rFonts w:ascii="黑体" w:hAnsi="黑体" w:eastAsia="黑体" w:cs="黑体"/>
          <w:color w:val="000000"/>
          <w:sz w:val="30"/>
          <w:szCs w:val="30"/>
        </w:rPr>
        <w:t>2</w:t>
      </w:r>
      <w:r>
        <w:rPr>
          <w:rFonts w:hint="eastAsia" w:ascii="黑体" w:hAnsi="黑体" w:eastAsia="黑体" w:cs="黑体"/>
          <w:color w:val="000000"/>
          <w:sz w:val="30"/>
          <w:szCs w:val="30"/>
        </w:rPr>
        <w:t>年（</w:t>
      </w:r>
      <w:r>
        <w:rPr>
          <w:rFonts w:ascii="黑体" w:hAnsi="黑体" w:eastAsia="黑体" w:cs="黑体"/>
          <w:color w:val="000000"/>
          <w:sz w:val="30"/>
          <w:szCs w:val="30"/>
          <w:u w:val="single"/>
        </w:rPr>
        <w:t xml:space="preserve">      </w:t>
      </w:r>
      <w:r>
        <w:rPr>
          <w:rFonts w:hint="eastAsia" w:ascii="黑体" w:hAnsi="黑体" w:eastAsia="黑体" w:cs="黑体"/>
          <w:color w:val="000000"/>
          <w:sz w:val="30"/>
          <w:szCs w:val="30"/>
        </w:rPr>
        <w:t xml:space="preserve"> 年）指标数据清单</w:t>
      </w:r>
    </w:p>
    <w:tbl>
      <w:tblP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一级指标</w:t>
            </w:r>
          </w:p>
        </w:tc>
        <w:tc>
          <w:tcPr>
            <w:tcW w:w="878"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序号</w:t>
            </w:r>
          </w:p>
        </w:tc>
        <w:tc>
          <w:tcPr>
            <w:tcW w:w="3233" w:type="dxa"/>
            <w:vAlign w:val="center"/>
          </w:tcPr>
          <w:p>
            <w:pPr>
              <w:adjustRightInd w:val="0"/>
              <w:snapToGrid w:val="0"/>
              <w:ind w:firstLine="562"/>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二级指标</w:t>
            </w:r>
          </w:p>
        </w:tc>
        <w:tc>
          <w:tcPr>
            <w:tcW w:w="1276"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指标单位</w:t>
            </w:r>
          </w:p>
        </w:tc>
        <w:tc>
          <w:tcPr>
            <w:tcW w:w="1587"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指标数据</w:t>
            </w:r>
          </w:p>
        </w:tc>
        <w:tc>
          <w:tcPr>
            <w:tcW w:w="1363" w:type="dxa"/>
            <w:vAlign w:val="center"/>
          </w:tcPr>
          <w:p>
            <w:pPr>
              <w:adjustRightInd w:val="0"/>
              <w:snapToGrid w:val="0"/>
              <w:jc w:val="center"/>
              <w:rPr>
                <w:rFonts w:ascii="仿宋_GB2312" w:hAnsi="Times New Roman" w:eastAsia="仿宋_GB2312" w:cs="Times New Roman"/>
                <w:b/>
                <w:bCs/>
                <w:color w:val="000000"/>
                <w:kern w:val="0"/>
                <w:sz w:val="28"/>
                <w:szCs w:val="28"/>
              </w:rPr>
            </w:pPr>
            <w:r>
              <w:rPr>
                <w:rFonts w:hint="eastAsia" w:ascii="仿宋_GB2312" w:hAnsi="Times New Roman" w:eastAsia="仿宋_GB2312" w:cs="仿宋_GB2312"/>
                <w:b/>
                <w:bCs/>
                <w:color w:val="000000"/>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EG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能源产出率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/tce</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可再生能源使用比例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清洁能源使用率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资源利用</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lang w:val="en-US" w:eastAsia="zh-CN"/>
              </w:rPr>
              <w:t>R</w:t>
            </w:r>
            <w:r>
              <w:rPr>
                <w:rFonts w:ascii="仿宋_GB2312" w:hAnsi="Times New Roman" w:eastAsia="仿宋_GB2312" w:cs="仿宋_GB2312"/>
                <w:color w:val="000000"/>
                <w:kern w:val="0"/>
                <w:sz w:val="24"/>
                <w:szCs w:val="24"/>
              </w:rPr>
              <w:t>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水资源产出率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元</w:t>
            </w:r>
            <w:r>
              <w:rPr>
                <w:rFonts w:ascii="仿宋_GB2312" w:hAnsi="Times New Roman" w:eastAsia="仿宋_GB2312" w:cs="仿宋_GB2312"/>
                <w:color w:val="000000"/>
                <w:kern w:val="0"/>
                <w:sz w:val="24"/>
                <w:szCs w:val="24"/>
              </w:rPr>
              <w:t>/m</w:t>
            </w:r>
            <w:r>
              <w:rPr>
                <w:rFonts w:ascii="仿宋_GB2312" w:hAnsi="Times New Roman" w:eastAsia="仿宋_GB2312" w:cs="仿宋_GB2312"/>
                <w:color w:val="000000"/>
                <w:kern w:val="0"/>
                <w:sz w:val="24"/>
                <w:szCs w:val="24"/>
                <w:vertAlign w:val="superscript"/>
              </w:rPr>
              <w:t>3</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土地资源产出率</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亿元</w:t>
            </w:r>
            <w:r>
              <w:rPr>
                <w:rFonts w:ascii="仿宋_GB2312" w:hAnsi="Times New Roman" w:eastAsia="仿宋_GB2312" w:cs="仿宋_GB2312"/>
                <w:color w:val="000000"/>
                <w:kern w:val="0"/>
                <w:sz w:val="24"/>
                <w:szCs w:val="24"/>
              </w:rPr>
              <w:t>/km</w:t>
            </w:r>
            <w:r>
              <w:rPr>
                <w:rFonts w:ascii="仿宋_GB2312" w:hAnsi="Times New Roman" w:eastAsia="仿宋_GB2312" w:cs="仿宋_GB2312"/>
                <w:color w:val="000000"/>
                <w:kern w:val="0"/>
                <w:sz w:val="24"/>
                <w:szCs w:val="24"/>
                <w:vertAlign w:val="superscript"/>
              </w:rPr>
              <w:t>2</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工业固体废弃物综合利用率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工业用水重复利用率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中水回用率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余热资源回收利用率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废气资源回收利用率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再生资源回收利用率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基础设施</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lang w:val="en-US" w:eastAsia="zh-CN"/>
              </w:rPr>
              <w:t>I</w:t>
            </w:r>
            <w:r>
              <w:rPr>
                <w:rFonts w:ascii="仿宋_GB2312" w:hAnsi="Times New Roman" w:eastAsia="仿宋_GB2312" w:cs="仿宋_GB2312"/>
                <w:color w:val="000000"/>
                <w:kern w:val="0"/>
                <w:sz w:val="24"/>
                <w:szCs w:val="24"/>
              </w:rPr>
              <w:t>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12</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污水集中处理设施</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13</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新建工业建筑中</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14</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新建公共建筑中</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绿色建筑的比例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500</w:t>
            </w:r>
            <w:r>
              <w:rPr>
                <w:rFonts w:hint="eastAsia" w:ascii="仿宋_GB2312" w:hAnsi="Times New Roman" w:eastAsia="仿宋_GB2312" w:cs="仿宋_GB2312"/>
                <w:color w:val="000000"/>
                <w:kern w:val="0"/>
                <w:sz w:val="24"/>
                <w:szCs w:val="24"/>
              </w:rPr>
              <w:t>米公交站点覆盖率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节能与新能源公交车比例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产业</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CG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17</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高技术产业产值占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园区工业总产值比例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18</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绿色产业增加值占</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园区工业增加值比例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19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人均工业增加值</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万元</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人</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现代服务业比例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生态环境</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HG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21</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工业固体废弃物（含危废）</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处置利用率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22</w:t>
            </w:r>
          </w:p>
        </w:tc>
        <w:tc>
          <w:tcPr>
            <w:tcW w:w="3233" w:type="dxa"/>
            <w:vAlign w:val="center"/>
          </w:tcPr>
          <w:p>
            <w:pPr>
              <w:adjustRightInd w:val="0"/>
              <w:snapToGrid w:val="0"/>
              <w:jc w:val="center"/>
              <w:rPr>
                <w:rFonts w:hint="eastAsia"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rPr>
              <w:t>万元工业增加值碳排放量</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消减率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23</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单位工业增加值废水排放量</w:t>
            </w:r>
          </w:p>
        </w:tc>
        <w:tc>
          <w:tcPr>
            <w:tcW w:w="1276" w:type="dxa"/>
            <w:vAlign w:val="center"/>
          </w:tcPr>
          <w:p>
            <w:pPr>
              <w:adjustRightInd w:val="0"/>
              <w:snapToGrid w:val="0"/>
              <w:jc w:val="center"/>
              <w:rPr>
                <w:rFonts w:ascii="仿宋_GB2312" w:hAnsi="Times New Roman" w:eastAsia="仿宋_GB2312" w:cs="Times New Roman"/>
                <w:color w:val="000000"/>
                <w:kern w:val="0"/>
                <w:sz w:val="24"/>
                <w:szCs w:val="24"/>
              </w:rPr>
            </w:pPr>
            <w:r>
              <w:rPr>
                <w:rFonts w:ascii="仿宋_GB2312" w:hAnsi="Times New Roman" w:eastAsia="仿宋_GB2312" w:cs="仿宋_GB2312"/>
                <w:color w:val="000000"/>
                <w:kern w:val="0"/>
                <w:sz w:val="24"/>
                <w:szCs w:val="24"/>
              </w:rPr>
              <w:t>t/</w:t>
            </w:r>
            <w:r>
              <w:rPr>
                <w:rFonts w:hint="eastAsia" w:ascii="仿宋_GB2312" w:hAnsi="Times New Roman" w:eastAsia="仿宋_GB2312" w:cs="仿宋_GB2312"/>
                <w:color w:val="000000"/>
                <w:kern w:val="0"/>
                <w:sz w:val="24"/>
                <w:szCs w:val="24"/>
              </w:rPr>
              <w:t>万元</w:t>
            </w:r>
          </w:p>
        </w:tc>
        <w:tc>
          <w:tcPr>
            <w:tcW w:w="1587" w:type="dxa"/>
            <w:vAlign w:val="center"/>
          </w:tcPr>
          <w:p>
            <w:pPr>
              <w:adjustRightInd w:val="0"/>
              <w:snapToGrid w:val="0"/>
              <w:jc w:val="center"/>
              <w:rPr>
                <w:rFonts w:ascii="仿宋_GB2312" w:hAnsi="Times New Roman" w:eastAsia="仿宋_GB2312" w:cs="Times New Roman"/>
                <w:color w:val="000000"/>
                <w:kern w:val="0"/>
                <w:sz w:val="24"/>
                <w:szCs w:val="24"/>
              </w:rPr>
            </w:pPr>
          </w:p>
        </w:tc>
        <w:tc>
          <w:tcPr>
            <w:tcW w:w="1363" w:type="dxa"/>
            <w:vAlign w:val="center"/>
          </w:tcPr>
          <w:p>
            <w:pPr>
              <w:adjustRightInd w:val="0"/>
              <w:snapToGrid w:val="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24</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主要污染物弹性系数</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25</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园区空气质量优良率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26</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绿化覆盖率</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restart"/>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27</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道路遮荫比例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28</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露天停车场遮荫比例</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运行管理</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w:t>
            </w:r>
            <w:r>
              <w:rPr>
                <w:rFonts w:ascii="仿宋_GB2312" w:hAnsi="Times New Roman" w:eastAsia="仿宋_GB2312" w:cs="仿宋_GB2312"/>
                <w:color w:val="000000"/>
                <w:kern w:val="0"/>
                <w:sz w:val="24"/>
                <w:szCs w:val="24"/>
              </w:rPr>
              <w:t>MG</w:t>
            </w:r>
            <w:r>
              <w:rPr>
                <w:rFonts w:hint="eastAsia" w:ascii="仿宋_GB2312" w:hAnsi="Times New Roman" w:eastAsia="仿宋_GB2312" w:cs="仿宋_GB2312"/>
                <w:color w:val="000000"/>
                <w:kern w:val="0"/>
                <w:sz w:val="24"/>
                <w:szCs w:val="24"/>
              </w:rPr>
              <w:t>）</w:t>
            </w: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29</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绿色园区标准体系完善程度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30</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编制绿色园区发展规划</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_GB2312" w:hAnsi="Times New Roman" w:eastAsia="仿宋_GB2312"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31</w:t>
            </w:r>
          </w:p>
        </w:tc>
        <w:tc>
          <w:tcPr>
            <w:tcW w:w="3233" w:type="dxa"/>
            <w:vAlign w:val="center"/>
          </w:tcPr>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绿色园区信息平台完善程度</w:t>
            </w:r>
          </w:p>
        </w:tc>
        <w:tc>
          <w:tcPr>
            <w:tcW w:w="1276" w:type="dxa"/>
            <w:vAlign w:val="center"/>
          </w:tcPr>
          <w:p>
            <w:pPr>
              <w:adjustRightInd w:val="0"/>
              <w:snapToGrid w:val="0"/>
              <w:jc w:val="center"/>
              <w:rPr>
                <w:rFonts w:ascii="仿宋_GB2312" w:hAnsi="Times New Roman" w:eastAsia="仿宋_GB2312" w:cs="仿宋_GB2312"/>
                <w:color w:val="000000"/>
                <w:kern w:val="0"/>
                <w:sz w:val="24"/>
                <w:szCs w:val="24"/>
              </w:rPr>
            </w:pPr>
            <w:r>
              <w:rPr>
                <w:rFonts w:ascii="仿宋_GB2312" w:hAnsi="Times New Roman" w:eastAsia="仿宋_GB2312" w:cs="仿宋_GB2312"/>
                <w:color w:val="000000"/>
                <w:kern w:val="0"/>
                <w:sz w:val="24"/>
                <w:szCs w:val="24"/>
              </w:rPr>
              <w:t>-</w:t>
            </w:r>
          </w:p>
        </w:tc>
        <w:tc>
          <w:tcPr>
            <w:tcW w:w="1587" w:type="dxa"/>
            <w:vAlign w:val="center"/>
          </w:tcPr>
          <w:p>
            <w:pPr>
              <w:adjustRightInd w:val="0"/>
              <w:snapToGrid w:val="0"/>
              <w:jc w:val="center"/>
              <w:rPr>
                <w:rFonts w:ascii="仿宋_GB2312" w:hAnsi="Times New Roman" w:eastAsia="仿宋_GB2312" w:cs="仿宋_GB2312"/>
                <w:color w:val="000000"/>
                <w:kern w:val="0"/>
                <w:sz w:val="24"/>
                <w:szCs w:val="24"/>
              </w:rPr>
            </w:pPr>
          </w:p>
        </w:tc>
        <w:tc>
          <w:tcPr>
            <w:tcW w:w="1363" w:type="dxa"/>
            <w:vAlign w:val="center"/>
          </w:tcPr>
          <w:p>
            <w:pPr>
              <w:adjustRightInd w:val="0"/>
              <w:snapToGrid w:val="0"/>
              <w:jc w:val="center"/>
              <w:rPr>
                <w:rFonts w:ascii="仿宋_GB2312" w:hAnsi="Times New Roman" w:eastAsia="仿宋_GB2312" w:cs="仿宋_GB2312"/>
                <w:color w:val="000000"/>
                <w:kern w:val="0"/>
                <w:sz w:val="24"/>
                <w:szCs w:val="24"/>
              </w:rPr>
            </w:pPr>
          </w:p>
        </w:tc>
      </w:tr>
    </w:tbl>
    <w:p>
      <w:pPr>
        <w:spacing w:line="360" w:lineRule="auto"/>
        <w:jc w:val="center"/>
        <w:rPr>
          <w:rFonts w:ascii="黑体" w:hAnsi="黑体" w:eastAsia="黑体" w:cs="Times New Roman"/>
          <w:color w:val="000000"/>
          <w:sz w:val="30"/>
          <w:szCs w:val="30"/>
        </w:rPr>
      </w:pPr>
    </w:p>
    <w:p>
      <w:pPr>
        <w:spacing w:line="360" w:lineRule="auto"/>
        <w:jc w:val="center"/>
        <w:rPr>
          <w:rFonts w:ascii="方正小标宋简体" w:eastAsia="方正小标宋简体" w:cs="Times New Roman"/>
          <w:color w:val="000000"/>
          <w:sz w:val="30"/>
          <w:szCs w:val="30"/>
        </w:rPr>
      </w:pPr>
      <w:r>
        <w:rPr>
          <w:rFonts w:hint="eastAsia" w:ascii="黑体" w:hAnsi="黑体" w:eastAsia="黑体" w:cs="黑体"/>
          <w:color w:val="000000"/>
          <w:sz w:val="30"/>
          <w:szCs w:val="30"/>
        </w:rPr>
        <w:t>第</w:t>
      </w:r>
      <w:r>
        <w:rPr>
          <w:rFonts w:ascii="黑体" w:hAnsi="黑体" w:eastAsia="黑体" w:cs="黑体"/>
          <w:color w:val="000000"/>
          <w:sz w:val="30"/>
          <w:szCs w:val="30"/>
        </w:rPr>
        <w:t>3</w:t>
      </w:r>
      <w:r>
        <w:rPr>
          <w:rFonts w:hint="eastAsia" w:ascii="黑体" w:hAnsi="黑体" w:eastAsia="黑体" w:cs="黑体"/>
          <w:color w:val="000000"/>
          <w:sz w:val="30"/>
          <w:szCs w:val="30"/>
        </w:rPr>
        <w:t>年（</w:t>
      </w:r>
      <w:r>
        <w:rPr>
          <w:rFonts w:hint="eastAsia" w:ascii="黑体" w:hAnsi="黑体" w:eastAsia="黑体" w:cs="黑体"/>
          <w:color w:val="000000"/>
          <w:sz w:val="30"/>
          <w:szCs w:val="30"/>
          <w:u w:val="single"/>
        </w:rPr>
        <w:t xml:space="preserve">      </w:t>
      </w:r>
      <w:r>
        <w:rPr>
          <w:rFonts w:hint="eastAsia" w:ascii="黑体" w:hAnsi="黑体" w:eastAsia="黑体" w:cs="黑体"/>
          <w:color w:val="000000"/>
          <w:sz w:val="30"/>
          <w:szCs w:val="30"/>
        </w:rPr>
        <w:t xml:space="preserve"> 年）指标数据清单</w:t>
      </w:r>
    </w:p>
    <w:tbl>
      <w:tblP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一级指标</w:t>
            </w:r>
          </w:p>
        </w:tc>
        <w:tc>
          <w:tcPr>
            <w:tcW w:w="878"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序号</w:t>
            </w:r>
          </w:p>
        </w:tc>
        <w:tc>
          <w:tcPr>
            <w:tcW w:w="3233" w:type="dxa"/>
            <w:vAlign w:val="center"/>
          </w:tcPr>
          <w:p>
            <w:pPr>
              <w:adjustRightInd w:val="0"/>
              <w:snapToGrid w:val="0"/>
              <w:ind w:firstLine="562"/>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二级指标</w:t>
            </w:r>
          </w:p>
        </w:tc>
        <w:tc>
          <w:tcPr>
            <w:tcW w:w="1276"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指标单位</w:t>
            </w:r>
          </w:p>
        </w:tc>
        <w:tc>
          <w:tcPr>
            <w:tcW w:w="1587"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指标数据</w:t>
            </w:r>
          </w:p>
        </w:tc>
        <w:tc>
          <w:tcPr>
            <w:tcW w:w="1363" w:type="dxa"/>
            <w:vAlign w:val="center"/>
          </w:tcPr>
          <w:p>
            <w:pPr>
              <w:adjustRightInd w:val="0"/>
              <w:snapToGrid w:val="0"/>
              <w:jc w:val="center"/>
              <w:rPr>
                <w:rFonts w:ascii="仿宋_GB2312" w:hAnsi="Times New Roman" w:eastAsia="仿宋_GB2312" w:cs="Times New Roman"/>
                <w:b/>
                <w:bCs/>
                <w:color w:val="000000"/>
                <w:kern w:val="0"/>
                <w:sz w:val="24"/>
                <w:szCs w:val="24"/>
              </w:rPr>
            </w:pPr>
            <w:r>
              <w:rPr>
                <w:rFonts w:hint="eastAsia" w:ascii="仿宋_GB2312" w:hAnsi="Times New Roman" w:eastAsia="仿宋_GB2312" w:cs="仿宋_GB2312"/>
                <w:b/>
                <w:bCs/>
                <w:color w:val="000000"/>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能源利用</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绿色化指标</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EG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能源产出率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万元</w:t>
            </w:r>
            <w:r>
              <w:rPr>
                <w:rFonts w:ascii="仿宋" w:hAnsi="仿宋" w:eastAsia="仿宋" w:cs="仿宋"/>
                <w:color w:val="000000"/>
                <w:kern w:val="0"/>
                <w:sz w:val="24"/>
                <w:szCs w:val="24"/>
              </w:rPr>
              <w:t>/tce</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可再生能源使用比例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3</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清洁能源使用率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资源利用</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绿色化指标</w:t>
            </w:r>
          </w:p>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R</w:t>
            </w:r>
            <w:r>
              <w:rPr>
                <w:rFonts w:ascii="仿宋" w:hAnsi="仿宋" w:eastAsia="仿宋" w:cs="仿宋"/>
                <w:color w:val="000000"/>
                <w:kern w:val="0"/>
                <w:sz w:val="24"/>
                <w:szCs w:val="24"/>
              </w:rPr>
              <w:t>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4</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水资源产出率</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元</w:t>
            </w:r>
            <w:r>
              <w:rPr>
                <w:rFonts w:ascii="仿宋" w:hAnsi="仿宋" w:eastAsia="仿宋" w:cs="仿宋"/>
                <w:color w:val="000000"/>
                <w:kern w:val="0"/>
                <w:sz w:val="24"/>
                <w:szCs w:val="24"/>
              </w:rPr>
              <w:t>/m</w:t>
            </w:r>
            <w:r>
              <w:rPr>
                <w:rFonts w:ascii="仿宋" w:hAnsi="仿宋" w:eastAsia="仿宋" w:cs="仿宋"/>
                <w:color w:val="000000"/>
                <w:kern w:val="0"/>
                <w:sz w:val="24"/>
                <w:szCs w:val="24"/>
                <w:vertAlign w:val="superscript"/>
              </w:rPr>
              <w:t>3</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5</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土地资源产出率</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亿元</w:t>
            </w:r>
            <w:r>
              <w:rPr>
                <w:rFonts w:ascii="仿宋" w:hAnsi="仿宋" w:eastAsia="仿宋" w:cs="仿宋"/>
                <w:color w:val="000000"/>
                <w:kern w:val="0"/>
                <w:sz w:val="24"/>
                <w:szCs w:val="24"/>
              </w:rPr>
              <w:t>/km</w:t>
            </w:r>
            <w:r>
              <w:rPr>
                <w:rFonts w:ascii="仿宋" w:hAnsi="仿宋" w:eastAsia="仿宋" w:cs="仿宋"/>
                <w:color w:val="000000"/>
                <w:kern w:val="0"/>
                <w:sz w:val="24"/>
                <w:szCs w:val="24"/>
                <w:vertAlign w:val="superscript"/>
              </w:rPr>
              <w:t>2</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6</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工业固体废弃物综合利用率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7</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工业用水重复利用率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8</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中水回用率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9</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余热资源回收利用率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10</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废气资源回收利用率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11</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再生资源回收利用率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基础设施</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I</w:t>
            </w:r>
            <w:r>
              <w:rPr>
                <w:rFonts w:ascii="仿宋" w:hAnsi="仿宋" w:eastAsia="仿宋" w:cs="仿宋"/>
                <w:color w:val="000000"/>
                <w:kern w:val="0"/>
                <w:sz w:val="24"/>
                <w:szCs w:val="24"/>
              </w:rPr>
              <w:t>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12</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污水集中处理设施</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13</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新建工业建筑中</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绿色建筑的比例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14</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新建公共建筑中</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绿色建筑的比例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15</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ascii="仿宋" w:hAnsi="仿宋" w:eastAsia="仿宋" w:cs="仿宋"/>
                <w:color w:val="000000"/>
                <w:kern w:val="0"/>
                <w:sz w:val="24"/>
                <w:szCs w:val="24"/>
              </w:rPr>
              <w:t>500</w:t>
            </w:r>
            <w:r>
              <w:rPr>
                <w:rFonts w:hint="eastAsia" w:ascii="仿宋" w:hAnsi="仿宋" w:eastAsia="仿宋" w:cs="仿宋"/>
                <w:color w:val="000000"/>
                <w:kern w:val="0"/>
                <w:sz w:val="24"/>
                <w:szCs w:val="24"/>
              </w:rPr>
              <w:t>米公交站点覆盖率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16</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节能与新能源公交车比例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产业</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CG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17</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高技术产业产值占</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园区工业总产值比例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18</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绿色产业增加值占</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园区工业增加值比例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19</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人均工业增加值</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万元</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人</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Merge w:val="restart"/>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20</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现代服务业比例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生态环境</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HG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21</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工业固体废弃物（含危废）</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处置利用率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22</w:t>
            </w:r>
          </w:p>
        </w:tc>
        <w:tc>
          <w:tcPr>
            <w:tcW w:w="3233" w:type="dxa"/>
            <w:vAlign w:val="center"/>
          </w:tcPr>
          <w:p>
            <w:pPr>
              <w:adjustRightInd w:val="0"/>
              <w:snapToGri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万元工业增加值碳排放量</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消减率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23</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单位工业增加值废水排放量</w:t>
            </w:r>
          </w:p>
        </w:tc>
        <w:tc>
          <w:tcPr>
            <w:tcW w:w="1276" w:type="dxa"/>
            <w:vAlign w:val="center"/>
          </w:tcPr>
          <w:p>
            <w:pPr>
              <w:adjustRightInd w:val="0"/>
              <w:snapToGrid w:val="0"/>
              <w:jc w:val="center"/>
              <w:rPr>
                <w:rFonts w:ascii="仿宋" w:hAnsi="仿宋" w:eastAsia="仿宋" w:cs="Times New Roman"/>
                <w:color w:val="000000"/>
                <w:kern w:val="0"/>
                <w:sz w:val="24"/>
                <w:szCs w:val="24"/>
              </w:rPr>
            </w:pPr>
            <w:r>
              <w:rPr>
                <w:rFonts w:ascii="仿宋" w:hAnsi="仿宋" w:eastAsia="仿宋" w:cs="仿宋"/>
                <w:color w:val="000000"/>
                <w:kern w:val="0"/>
                <w:sz w:val="24"/>
                <w:szCs w:val="24"/>
              </w:rPr>
              <w:t>t/</w:t>
            </w:r>
            <w:r>
              <w:rPr>
                <w:rFonts w:hint="eastAsia" w:ascii="仿宋" w:hAnsi="仿宋" w:eastAsia="仿宋" w:cs="仿宋"/>
                <w:color w:val="000000"/>
                <w:kern w:val="0"/>
                <w:sz w:val="24"/>
                <w:szCs w:val="24"/>
              </w:rPr>
              <w:t>万元</w:t>
            </w:r>
          </w:p>
        </w:tc>
        <w:tc>
          <w:tcPr>
            <w:tcW w:w="1587" w:type="dxa"/>
            <w:vAlign w:val="center"/>
          </w:tcPr>
          <w:p>
            <w:pPr>
              <w:adjustRightInd w:val="0"/>
              <w:snapToGrid w:val="0"/>
              <w:jc w:val="center"/>
              <w:rPr>
                <w:rFonts w:ascii="仿宋" w:hAnsi="仿宋" w:eastAsia="仿宋" w:cs="Times New Roman"/>
                <w:color w:val="000000"/>
                <w:kern w:val="0"/>
                <w:sz w:val="24"/>
                <w:szCs w:val="24"/>
              </w:rPr>
            </w:pPr>
          </w:p>
        </w:tc>
        <w:tc>
          <w:tcPr>
            <w:tcW w:w="1363" w:type="dxa"/>
            <w:vAlign w:val="center"/>
          </w:tcPr>
          <w:p>
            <w:pPr>
              <w:adjustRightInd w:val="0"/>
              <w:snapToGrid w:val="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24</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主要污染物弹性系数</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25</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园区空气质量优良率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26</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绿化覆盖率</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restart"/>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27</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道路遮荫比例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28</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露天停车场遮荫比例</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restart"/>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运行管理</w:t>
            </w:r>
          </w:p>
          <w:p>
            <w:pPr>
              <w:adjustRightInd w:val="0"/>
              <w:snapToGrid w:val="0"/>
              <w:jc w:val="cente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绿色化指标</w:t>
            </w:r>
          </w:p>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MG</w:t>
            </w:r>
            <w:r>
              <w:rPr>
                <w:rFonts w:hint="eastAsia" w:ascii="仿宋" w:hAnsi="仿宋" w:eastAsia="仿宋" w:cs="仿宋"/>
                <w:color w:val="000000"/>
                <w:kern w:val="0"/>
                <w:sz w:val="24"/>
                <w:szCs w:val="24"/>
              </w:rPr>
              <w:t>）</w:t>
            </w: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29</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绿色园区标准体系完善程度</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30</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编制绿色园区发展规划</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50" w:type="dxa"/>
            <w:vMerge w:val="continue"/>
            <w:vAlign w:val="center"/>
          </w:tcPr>
          <w:p>
            <w:pPr>
              <w:adjustRightInd w:val="0"/>
              <w:snapToGrid w:val="0"/>
              <w:ind w:firstLine="560"/>
              <w:jc w:val="center"/>
              <w:rPr>
                <w:rFonts w:ascii="仿宋" w:hAnsi="仿宋" w:eastAsia="仿宋" w:cs="Times New Roman"/>
                <w:color w:val="000000"/>
                <w:kern w:val="0"/>
                <w:sz w:val="24"/>
                <w:szCs w:val="24"/>
              </w:rPr>
            </w:pPr>
          </w:p>
        </w:tc>
        <w:tc>
          <w:tcPr>
            <w:tcW w:w="878" w:type="dxa"/>
            <w:vAlign w:val="center"/>
          </w:tcPr>
          <w:p>
            <w:pPr>
              <w:pStyle w:val="23"/>
              <w:adjustRightInd w:val="0"/>
              <w:snapToGrid w:val="0"/>
              <w:ind w:firstLine="0" w:firstLineChars="0"/>
              <w:jc w:val="center"/>
              <w:rPr>
                <w:rFonts w:ascii="仿宋" w:hAnsi="仿宋" w:eastAsia="仿宋" w:cs="仿宋"/>
                <w:color w:val="000000"/>
                <w:kern w:val="0"/>
                <w:sz w:val="24"/>
                <w:szCs w:val="24"/>
              </w:rPr>
            </w:pPr>
            <w:r>
              <w:rPr>
                <w:rFonts w:ascii="仿宋" w:hAnsi="仿宋" w:eastAsia="仿宋" w:cs="仿宋"/>
                <w:color w:val="000000"/>
                <w:kern w:val="0"/>
                <w:sz w:val="24"/>
                <w:szCs w:val="24"/>
              </w:rPr>
              <w:t>31</w:t>
            </w:r>
          </w:p>
        </w:tc>
        <w:tc>
          <w:tcPr>
            <w:tcW w:w="3233" w:type="dxa"/>
            <w:vAlign w:val="center"/>
          </w:tcPr>
          <w:p>
            <w:pPr>
              <w:adjustRightInd w:val="0"/>
              <w:snapToGrid w:val="0"/>
              <w:jc w:val="center"/>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绿色园区信息平台完善程度</w:t>
            </w:r>
          </w:p>
        </w:tc>
        <w:tc>
          <w:tcPr>
            <w:tcW w:w="1276" w:type="dxa"/>
            <w:vAlign w:val="center"/>
          </w:tcPr>
          <w:p>
            <w:pPr>
              <w:adjustRightInd w:val="0"/>
              <w:snapToGrid w:val="0"/>
              <w:jc w:val="center"/>
              <w:rPr>
                <w:rFonts w:ascii="仿宋" w:hAnsi="仿宋" w:eastAsia="仿宋" w:cs="仿宋"/>
                <w:color w:val="000000"/>
                <w:kern w:val="0"/>
                <w:sz w:val="24"/>
                <w:szCs w:val="24"/>
              </w:rPr>
            </w:pPr>
            <w:r>
              <w:rPr>
                <w:rFonts w:ascii="仿宋" w:hAnsi="仿宋" w:eastAsia="仿宋" w:cs="仿宋"/>
                <w:color w:val="000000"/>
                <w:kern w:val="0"/>
                <w:sz w:val="24"/>
                <w:szCs w:val="24"/>
              </w:rPr>
              <w:t>-</w:t>
            </w:r>
          </w:p>
        </w:tc>
        <w:tc>
          <w:tcPr>
            <w:tcW w:w="1587" w:type="dxa"/>
            <w:vAlign w:val="center"/>
          </w:tcPr>
          <w:p>
            <w:pPr>
              <w:adjustRightInd w:val="0"/>
              <w:snapToGrid w:val="0"/>
              <w:jc w:val="center"/>
              <w:rPr>
                <w:rFonts w:ascii="仿宋" w:hAnsi="仿宋" w:eastAsia="仿宋" w:cs="仿宋"/>
                <w:color w:val="000000"/>
                <w:kern w:val="0"/>
                <w:sz w:val="24"/>
                <w:szCs w:val="24"/>
              </w:rPr>
            </w:pPr>
          </w:p>
        </w:tc>
        <w:tc>
          <w:tcPr>
            <w:tcW w:w="1363" w:type="dxa"/>
            <w:vAlign w:val="center"/>
          </w:tcPr>
          <w:p>
            <w:pPr>
              <w:adjustRightInd w:val="0"/>
              <w:snapToGrid w:val="0"/>
              <w:jc w:val="center"/>
              <w:rPr>
                <w:rFonts w:ascii="仿宋" w:hAnsi="仿宋" w:eastAsia="仿宋" w:cs="仿宋"/>
                <w:color w:val="000000"/>
                <w:kern w:val="0"/>
                <w:sz w:val="24"/>
                <w:szCs w:val="24"/>
              </w:rPr>
            </w:pPr>
          </w:p>
        </w:tc>
      </w:tr>
    </w:tbl>
    <w:p>
      <w:pPr>
        <w:spacing w:line="360" w:lineRule="auto"/>
        <w:rPr>
          <w:rFonts w:cs="Times New Roman"/>
          <w:color w:val="000000"/>
        </w:rPr>
      </w:pPr>
    </w:p>
    <w:p>
      <w:pPr>
        <w:rPr>
          <w:rFonts w:cs="Times New Roman"/>
          <w:color w:val="000000"/>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方正仿宋简体">
    <w:altName w:val="微软雅黑"/>
    <w:panose1 w:val="00000000000000000000"/>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ascii="Times New Roman" w:hAnsi="Times New Roman" w:cs="Times New Roman"/>
      </w:rPr>
    </w:pPr>
    <w:r>
      <w:rPr>
        <w:rFonts w:ascii="Calibri" w:hAnsi="Calibri" w:eastAsia="宋体" w:cs="Calibri"/>
        <w:kern w:val="2"/>
        <w:sz w:val="18"/>
        <w:szCs w:val="18"/>
        <w:lang w:val="en-US" w:eastAsia="zh-CN" w:bidi="ar-SA"/>
      </w:rPr>
      <w:pict>
        <v:rect id="文本框 2" o:spid="_x0000_s1025" style="position:absolute;left:0;margin-top:0pt;height:13.8pt;width:2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- 33 -</w:t>
                </w:r>
                <w:r>
                  <w:rPr>
                    <w:rFonts w:ascii="Times New Roman" w:hAnsi="Times New Roman" w:cs="Times New Roman"/>
                    <w:sz w:val="24"/>
                    <w:szCs w:val="24"/>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rPr>
        <w:rFonts w:ascii="仿宋_GB2312" w:eastAsia="仿宋_GB2312"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iPriority="0" w:name="Normal Indent" w:locked="1"/>
    <w:lsdException w:uiPriority="0" w:name="footnote text" w:locked="1"/>
    <w:lsdException w:unhideWhenUsed="0" w:uiPriority="99" w:name="annotation text"/>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nhideWhenUsed="0" w:uiPriority="99"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semiHidden="0"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nhideWhenUsed="0" w:uiPriority="99"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nhideWhenUsed="0" w:uiPriority="99"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9"/>
    <w:qFormat/>
    <w:uiPriority w:val="99"/>
    <w:pPr>
      <w:keepNext/>
      <w:keepLines/>
      <w:widowControl/>
      <w:spacing w:before="340" w:after="330" w:line="578" w:lineRule="auto"/>
      <w:outlineLvl w:val="0"/>
    </w:pPr>
    <w:rPr>
      <w:b/>
      <w:bCs/>
      <w:kern w:val="44"/>
      <w:sz w:val="44"/>
      <w:szCs w:val="44"/>
    </w:rPr>
  </w:style>
  <w:style w:type="character" w:default="1" w:styleId="19">
    <w:name w:val="Default Paragraph Font"/>
    <w:unhideWhenUsed/>
    <w:uiPriority w:val="1"/>
  </w:style>
  <w:style w:type="paragraph" w:styleId="3">
    <w:name w:val="annotation subject"/>
    <w:basedOn w:val="4"/>
    <w:next w:val="4"/>
    <w:link w:val="31"/>
    <w:semiHidden/>
    <w:uiPriority w:val="99"/>
    <w:rPr>
      <w:b/>
      <w:bCs/>
    </w:rPr>
  </w:style>
  <w:style w:type="paragraph" w:styleId="4">
    <w:name w:val="annotation text"/>
    <w:basedOn w:val="1"/>
    <w:link w:val="30"/>
    <w:semiHidden/>
    <w:uiPriority w:val="99"/>
    <w:pPr>
      <w:jc w:val="left"/>
    </w:pPr>
  </w:style>
  <w:style w:type="paragraph" w:styleId="5">
    <w:name w:val="toc 7"/>
    <w:basedOn w:val="1"/>
    <w:next w:val="1"/>
    <w:semiHidden/>
    <w:uiPriority w:val="99"/>
    <w:pPr>
      <w:jc w:val="left"/>
    </w:pPr>
    <w:rPr>
      <w:sz w:val="22"/>
      <w:szCs w:val="22"/>
    </w:rPr>
  </w:style>
  <w:style w:type="paragraph" w:styleId="6">
    <w:name w:val="Document Map"/>
    <w:basedOn w:val="1"/>
    <w:link w:val="32"/>
    <w:semiHidden/>
    <w:uiPriority w:val="99"/>
    <w:rPr>
      <w:rFonts w:ascii="宋体" w:cs="宋体"/>
      <w:sz w:val="18"/>
      <w:szCs w:val="18"/>
    </w:rPr>
  </w:style>
  <w:style w:type="paragraph" w:styleId="7">
    <w:name w:val="toc 5"/>
    <w:basedOn w:val="1"/>
    <w:next w:val="1"/>
    <w:semiHidden/>
    <w:uiPriority w:val="99"/>
    <w:pPr>
      <w:jc w:val="left"/>
    </w:pPr>
    <w:rPr>
      <w:sz w:val="22"/>
      <w:szCs w:val="22"/>
    </w:rPr>
  </w:style>
  <w:style w:type="paragraph" w:styleId="8">
    <w:name w:val="toc 3"/>
    <w:basedOn w:val="1"/>
    <w:next w:val="1"/>
    <w:semiHidden/>
    <w:uiPriority w:val="99"/>
    <w:pPr>
      <w:jc w:val="left"/>
    </w:pPr>
    <w:rPr>
      <w:smallCaps/>
      <w:sz w:val="22"/>
      <w:szCs w:val="22"/>
    </w:rPr>
  </w:style>
  <w:style w:type="paragraph" w:styleId="9">
    <w:name w:val="toc 8"/>
    <w:basedOn w:val="1"/>
    <w:next w:val="1"/>
    <w:semiHidden/>
    <w:uiPriority w:val="99"/>
    <w:pPr>
      <w:jc w:val="left"/>
    </w:pPr>
    <w:rPr>
      <w:sz w:val="22"/>
      <w:szCs w:val="22"/>
    </w:rPr>
  </w:style>
  <w:style w:type="paragraph" w:styleId="10">
    <w:name w:val="Balloon Text"/>
    <w:basedOn w:val="1"/>
    <w:link w:val="33"/>
    <w:semiHidden/>
    <w:uiPriority w:val="99"/>
    <w:rPr>
      <w:sz w:val="18"/>
      <w:szCs w:val="18"/>
    </w:rPr>
  </w:style>
  <w:style w:type="paragraph" w:styleId="11">
    <w:name w:val="footer"/>
    <w:basedOn w:val="1"/>
    <w:link w:val="34"/>
    <w:uiPriority w:val="99"/>
    <w:pPr>
      <w:tabs>
        <w:tab w:val="center" w:pos="4153"/>
        <w:tab w:val="right" w:pos="8306"/>
      </w:tabs>
      <w:snapToGrid w:val="0"/>
      <w:jc w:val="left"/>
    </w:pPr>
    <w:rPr>
      <w:sz w:val="18"/>
      <w:szCs w:val="18"/>
    </w:rPr>
  </w:style>
  <w:style w:type="paragraph" w:styleId="12">
    <w:name w:val="header"/>
    <w:basedOn w:val="1"/>
    <w:link w:val="35"/>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99"/>
    <w:pPr>
      <w:spacing w:before="360" w:after="360"/>
      <w:jc w:val="left"/>
    </w:pPr>
    <w:rPr>
      <w:b/>
      <w:bCs/>
      <w:caps/>
      <w:sz w:val="22"/>
      <w:szCs w:val="22"/>
      <w:u w:val="single"/>
    </w:rPr>
  </w:style>
  <w:style w:type="paragraph" w:styleId="14">
    <w:name w:val="toc 4"/>
    <w:basedOn w:val="1"/>
    <w:next w:val="1"/>
    <w:semiHidden/>
    <w:uiPriority w:val="99"/>
    <w:pPr>
      <w:jc w:val="left"/>
    </w:pPr>
    <w:rPr>
      <w:sz w:val="22"/>
      <w:szCs w:val="22"/>
    </w:rPr>
  </w:style>
  <w:style w:type="paragraph" w:styleId="15">
    <w:name w:val="toc 6"/>
    <w:basedOn w:val="1"/>
    <w:next w:val="1"/>
    <w:semiHidden/>
    <w:uiPriority w:val="99"/>
    <w:pPr>
      <w:jc w:val="left"/>
    </w:pPr>
    <w:rPr>
      <w:sz w:val="22"/>
      <w:szCs w:val="22"/>
    </w:rPr>
  </w:style>
  <w:style w:type="paragraph" w:styleId="16">
    <w:name w:val="toc 2"/>
    <w:basedOn w:val="1"/>
    <w:next w:val="1"/>
    <w:semiHidden/>
    <w:uiPriority w:val="99"/>
    <w:pPr>
      <w:jc w:val="left"/>
    </w:pPr>
    <w:rPr>
      <w:b/>
      <w:bCs/>
      <w:smallCaps/>
      <w:sz w:val="22"/>
      <w:szCs w:val="22"/>
    </w:rPr>
  </w:style>
  <w:style w:type="paragraph" w:styleId="17">
    <w:name w:val="toc 9"/>
    <w:basedOn w:val="1"/>
    <w:next w:val="1"/>
    <w:semiHidden/>
    <w:uiPriority w:val="99"/>
    <w:pPr>
      <w:jc w:val="left"/>
    </w:pPr>
    <w:rPr>
      <w:sz w:val="22"/>
      <w:szCs w:val="22"/>
    </w:rPr>
  </w:style>
  <w:style w:type="paragraph" w:styleId="1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20">
    <w:name w:val="Hyperlink"/>
    <w:uiPriority w:val="99"/>
    <w:rPr>
      <w:color w:val="auto"/>
      <w:u w:val="single"/>
    </w:rPr>
  </w:style>
  <w:style w:type="character" w:styleId="21">
    <w:name w:val="annotation reference"/>
    <w:semiHidden/>
    <w:uiPriority w:val="99"/>
    <w:rPr>
      <w:sz w:val="21"/>
      <w:szCs w:val="21"/>
    </w:rPr>
  </w:style>
  <w:style w:type="paragraph" w:customStyle="1" w:styleId="22">
    <w:name w:val="List Paragraph1"/>
    <w:basedOn w:val="1"/>
    <w:uiPriority w:val="99"/>
    <w:pPr>
      <w:widowControl/>
      <w:ind w:firstLine="420" w:firstLineChars="200"/>
    </w:pPr>
  </w:style>
  <w:style w:type="paragraph" w:customStyle="1" w:styleId="23">
    <w:name w:val="列出段落1"/>
    <w:basedOn w:val="1"/>
    <w:uiPriority w:val="99"/>
    <w:pPr>
      <w:ind w:firstLine="420" w:firstLineChars="200"/>
    </w:pPr>
  </w:style>
  <w:style w:type="paragraph" w:customStyle="1" w:styleId="24">
    <w:name w:val="_Style 2"/>
    <w:basedOn w:val="1"/>
    <w:uiPriority w:val="99"/>
    <w:pPr>
      <w:ind w:firstLine="420" w:firstLineChars="200"/>
    </w:pPr>
  </w:style>
  <w:style w:type="paragraph" w:customStyle="1" w:styleId="25">
    <w:name w:val="封面标准号1"/>
    <w:uiPriority w:val="99"/>
    <w:pPr>
      <w:widowControl w:val="0"/>
      <w:kinsoku w:val="0"/>
      <w:overflowPunct w:val="0"/>
      <w:autoSpaceDE w:val="0"/>
      <w:autoSpaceDN w:val="0"/>
      <w:spacing w:before="308"/>
      <w:jc w:val="right"/>
      <w:textAlignment w:val="center"/>
    </w:pPr>
    <w:rPr>
      <w:sz w:val="28"/>
      <w:szCs w:val="28"/>
    </w:rPr>
  </w:style>
  <w:style w:type="paragraph" w:customStyle="1" w:styleId="26">
    <w:name w:val="TOC Heading1"/>
    <w:basedOn w:val="2"/>
    <w:next w:val="1"/>
    <w:uiPriority w:val="99"/>
    <w:pPr>
      <w:spacing w:before="240" w:after="0" w:line="259" w:lineRule="auto"/>
      <w:jc w:val="left"/>
      <w:outlineLvl w:val="9"/>
    </w:pPr>
    <w:rPr>
      <w:rFonts w:ascii="Calibri Light" w:hAnsi="Calibri Light" w:cs="Calibri Light"/>
      <w:b w:val="0"/>
      <w:bCs w:val="0"/>
      <w:color w:val="2D73B3"/>
      <w:kern w:val="0"/>
      <w:sz w:val="32"/>
      <w:szCs w:val="32"/>
    </w:rPr>
  </w:style>
  <w:style w:type="paragraph" w:customStyle="1" w:styleId="27">
    <w:name w:val="普通(网站)1"/>
    <w:basedOn w:val="1"/>
    <w:uiPriority w:val="99"/>
    <w:pPr>
      <w:spacing w:before="100" w:beforeAutospacing="1" w:after="100" w:afterAutospacing="1"/>
      <w:jc w:val="left"/>
    </w:pPr>
    <w:rPr>
      <w:kern w:val="0"/>
      <w:sz w:val="24"/>
      <w:szCs w:val="24"/>
    </w:rPr>
  </w:style>
  <w:style w:type="paragraph" w:customStyle="1" w:styleId="28">
    <w:name w:val="列出段落2"/>
    <w:basedOn w:val="1"/>
    <w:uiPriority w:val="99"/>
    <w:pPr>
      <w:ind w:firstLine="420" w:firstLineChars="200"/>
    </w:pPr>
  </w:style>
  <w:style w:type="character" w:customStyle="1" w:styleId="29">
    <w:name w:val="标题 1 Char"/>
    <w:link w:val="2"/>
    <w:locked/>
    <w:uiPriority w:val="99"/>
    <w:rPr>
      <w:b/>
      <w:bCs/>
      <w:kern w:val="44"/>
      <w:sz w:val="44"/>
      <w:szCs w:val="44"/>
    </w:rPr>
  </w:style>
  <w:style w:type="character" w:customStyle="1" w:styleId="30">
    <w:name w:val="批注文字 Char"/>
    <w:link w:val="4"/>
    <w:semiHidden/>
    <w:locked/>
    <w:uiPriority w:val="99"/>
    <w:rPr>
      <w:rFonts w:ascii="Calibri" w:hAnsi="Calibri" w:eastAsia="宋体" w:cs="Calibri"/>
    </w:rPr>
  </w:style>
  <w:style w:type="character" w:customStyle="1" w:styleId="31">
    <w:name w:val="批注主题 Char"/>
    <w:link w:val="3"/>
    <w:semiHidden/>
    <w:locked/>
    <w:uiPriority w:val="99"/>
    <w:rPr>
      <w:rFonts w:ascii="Calibri" w:hAnsi="Calibri" w:eastAsia="宋体" w:cs="Calibri"/>
      <w:b/>
      <w:bCs/>
    </w:rPr>
  </w:style>
  <w:style w:type="character" w:customStyle="1" w:styleId="32">
    <w:name w:val="文档结构图 Char"/>
    <w:link w:val="6"/>
    <w:semiHidden/>
    <w:locked/>
    <w:uiPriority w:val="99"/>
    <w:rPr>
      <w:rFonts w:ascii="宋体" w:hAnsi="Calibri" w:eastAsia="宋体" w:cs="宋体"/>
      <w:sz w:val="18"/>
      <w:szCs w:val="18"/>
    </w:rPr>
  </w:style>
  <w:style w:type="character" w:customStyle="1" w:styleId="33">
    <w:name w:val="批注框文本 Char"/>
    <w:link w:val="10"/>
    <w:semiHidden/>
    <w:locked/>
    <w:uiPriority w:val="99"/>
    <w:rPr>
      <w:rFonts w:ascii="Calibri" w:hAnsi="Calibri" w:eastAsia="宋体" w:cs="Calibri"/>
      <w:sz w:val="18"/>
      <w:szCs w:val="18"/>
    </w:rPr>
  </w:style>
  <w:style w:type="character" w:customStyle="1" w:styleId="34">
    <w:name w:val="页脚 Char"/>
    <w:link w:val="11"/>
    <w:locked/>
    <w:uiPriority w:val="99"/>
    <w:rPr>
      <w:sz w:val="18"/>
      <w:szCs w:val="18"/>
    </w:rPr>
  </w:style>
  <w:style w:type="character" w:customStyle="1" w:styleId="35">
    <w:name w:val="页眉 Char"/>
    <w:link w:val="12"/>
    <w:locked/>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39</Pages>
  <Words>2785</Words>
  <Characters>15877</Characters>
  <Lines>132</Lines>
  <Paragraphs>37</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2018-10-09T17:39:00Z</dcterms:created>
  <dc:creator>pc</dc:creator>
  <cp:lastModifiedBy>linyanjie</cp:lastModifiedBy>
  <cp:lastPrinted>2018-08-10T04:00:00Z</cp:lastPrinted>
  <dcterms:modified xsi:type="dcterms:W3CDTF">2018-10-10T06:11:49Z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